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C81" w:rsidRDefault="00D06C81">
      <w:pPr>
        <w:pStyle w:val="a9"/>
        <w:rPr>
          <w:rFonts w:hint="eastAsia"/>
        </w:rPr>
      </w:pPr>
    </w:p>
    <w:p w:rsidR="00A44840" w:rsidRDefault="00BD5867">
      <w:pPr>
        <w:pStyle w:val="a9"/>
      </w:pPr>
      <w:r>
        <w:rPr>
          <w:rFonts w:hint="eastAsia"/>
        </w:rPr>
        <w:t>Does the</w:t>
      </w:r>
      <w:r w:rsidR="00D35F5E">
        <w:t xml:space="preserve"> Korean Cash and Futures Market React </w:t>
      </w:r>
      <w:r>
        <w:rPr>
          <w:rFonts w:hint="eastAsia"/>
        </w:rPr>
        <w:t xml:space="preserve">Differently </w:t>
      </w:r>
      <w:r w:rsidR="00D35F5E">
        <w:t>to U</w:t>
      </w:r>
      <w:r>
        <w:rPr>
          <w:rFonts w:hint="eastAsia"/>
        </w:rPr>
        <w:t>.</w:t>
      </w:r>
      <w:r w:rsidR="00D35F5E">
        <w:t>S</w:t>
      </w:r>
      <w:r>
        <w:rPr>
          <w:rFonts w:hint="eastAsia"/>
        </w:rPr>
        <w:t>.</w:t>
      </w:r>
      <w:r w:rsidR="00D35F5E">
        <w:t xml:space="preserve"> Shocks?</w:t>
      </w:r>
    </w:p>
    <w:p w:rsidR="00A44840" w:rsidRPr="008835BF" w:rsidRDefault="00D35F5E" w:rsidP="00F46AF2">
      <w:pPr>
        <w:pStyle w:val="a9"/>
        <w:rPr>
          <w:rFonts w:ascii="궁서" w:eastAsia="궁서" w:cs="궁서"/>
        </w:rPr>
      </w:pPr>
      <w:r>
        <w:rPr>
          <w:rFonts w:ascii="궁서" w:eastAsia="궁서" w:cs="궁서"/>
        </w:rPr>
        <w:t xml:space="preserve">                   </w:t>
      </w:r>
      <w:r w:rsidR="004807DF" w:rsidRPr="008835BF">
        <w:rPr>
          <w:rFonts w:ascii="궁서" w:eastAsia="궁서" w:cs="궁서" w:hint="eastAsia"/>
          <w:spacing w:val="6"/>
          <w:sz w:val="20"/>
          <w:szCs w:val="20"/>
        </w:rPr>
        <w:t>Dam Cho</w:t>
      </w:r>
      <w:r w:rsidRPr="008835BF">
        <w:rPr>
          <w:rFonts w:ascii="궁서" w:eastAsia="궁서" w:cs="궁서"/>
          <w:spacing w:val="6"/>
          <w:sz w:val="20"/>
          <w:szCs w:val="20"/>
        </w:rPr>
        <w:t>(</w:t>
      </w:r>
      <w:proofErr w:type="spellStart"/>
      <w:r w:rsidR="004807DF" w:rsidRPr="008835BF">
        <w:rPr>
          <w:rFonts w:ascii="궁서" w:eastAsia="궁서" w:cs="궁서" w:hint="eastAsia"/>
          <w:spacing w:val="6"/>
          <w:sz w:val="20"/>
          <w:szCs w:val="20"/>
        </w:rPr>
        <w:t>Chonnm</w:t>
      </w:r>
      <w:proofErr w:type="spellEnd"/>
      <w:r w:rsidR="004807DF" w:rsidRPr="008835BF">
        <w:rPr>
          <w:rFonts w:ascii="궁서" w:eastAsia="궁서" w:cs="궁서" w:hint="eastAsia"/>
          <w:spacing w:val="6"/>
          <w:sz w:val="20"/>
          <w:szCs w:val="20"/>
        </w:rPr>
        <w:t xml:space="preserve"> National University</w:t>
      </w:r>
      <w:r w:rsidRPr="008835BF">
        <w:rPr>
          <w:rFonts w:ascii="궁서" w:eastAsia="궁서" w:cs="궁서"/>
          <w:spacing w:val="6"/>
          <w:sz w:val="20"/>
          <w:szCs w:val="20"/>
        </w:rPr>
        <w:t xml:space="preserve">) </w:t>
      </w:r>
    </w:p>
    <w:p w:rsidR="00A44840" w:rsidRDefault="00D35F5E">
      <w:pPr>
        <w:pStyle w:val="a9"/>
        <w:rPr>
          <w:rFonts w:ascii="궁서" w:eastAsia="궁서" w:cs="궁서"/>
          <w:spacing w:val="6"/>
          <w:sz w:val="20"/>
          <w:szCs w:val="20"/>
        </w:rPr>
      </w:pPr>
      <w:r w:rsidRPr="008835BF">
        <w:rPr>
          <w:rFonts w:ascii="궁서" w:eastAsia="궁서" w:cs="궁서"/>
          <w:spacing w:val="6"/>
          <w:sz w:val="20"/>
          <w:szCs w:val="20"/>
        </w:rPr>
        <w:t xml:space="preserve">                                   </w:t>
      </w:r>
      <w:proofErr w:type="spellStart"/>
      <w:r w:rsidR="006B03CF" w:rsidRPr="008835BF">
        <w:rPr>
          <w:rFonts w:ascii="궁서" w:eastAsia="궁서" w:cs="궁서" w:hint="eastAsia"/>
          <w:spacing w:val="6"/>
          <w:sz w:val="20"/>
          <w:szCs w:val="20"/>
        </w:rPr>
        <w:t>Kyuhyong</w:t>
      </w:r>
      <w:proofErr w:type="spellEnd"/>
      <w:r w:rsidR="006B03CF" w:rsidRPr="008835BF">
        <w:rPr>
          <w:rFonts w:ascii="궁서" w:eastAsia="궁서" w:cs="궁서" w:hint="eastAsia"/>
          <w:spacing w:val="6"/>
          <w:sz w:val="20"/>
          <w:szCs w:val="20"/>
        </w:rPr>
        <w:t xml:space="preserve"> Kim</w:t>
      </w:r>
      <w:r w:rsidRPr="008835BF">
        <w:rPr>
          <w:rFonts w:ascii="궁서" w:eastAsia="궁서" w:cs="궁서"/>
          <w:spacing w:val="6"/>
          <w:sz w:val="20"/>
          <w:szCs w:val="20"/>
        </w:rPr>
        <w:t>(</w:t>
      </w:r>
      <w:r w:rsidR="006B03CF" w:rsidRPr="008835BF">
        <w:rPr>
          <w:rFonts w:ascii="궁서" w:eastAsia="궁서" w:cs="궁서" w:hint="eastAsia"/>
          <w:spacing w:val="6"/>
          <w:sz w:val="20"/>
          <w:szCs w:val="20"/>
        </w:rPr>
        <w:t xml:space="preserve">Chung </w:t>
      </w:r>
      <w:proofErr w:type="spellStart"/>
      <w:r w:rsidR="006B03CF" w:rsidRPr="008835BF">
        <w:rPr>
          <w:rFonts w:ascii="궁서" w:eastAsia="궁서" w:cs="궁서" w:hint="eastAsia"/>
          <w:spacing w:val="6"/>
          <w:sz w:val="20"/>
          <w:szCs w:val="20"/>
        </w:rPr>
        <w:t>Ang</w:t>
      </w:r>
      <w:proofErr w:type="spellEnd"/>
      <w:r w:rsidR="006B03CF" w:rsidRPr="008835BF">
        <w:rPr>
          <w:rFonts w:ascii="궁서" w:eastAsia="궁서" w:cs="궁서" w:hint="eastAsia"/>
          <w:spacing w:val="6"/>
          <w:sz w:val="20"/>
          <w:szCs w:val="20"/>
        </w:rPr>
        <w:t xml:space="preserve"> University)</w:t>
      </w:r>
    </w:p>
    <w:p w:rsidR="00A44840" w:rsidRDefault="00D35F5E">
      <w:pPr>
        <w:pStyle w:val="a8"/>
        <w:rPr>
          <w:rFonts w:ascii="궁서" w:eastAsia="궁서" w:cs="궁서"/>
        </w:rPr>
      </w:pPr>
      <w:r>
        <w:rPr>
          <w:rFonts w:ascii="궁서" w:eastAsia="궁서" w:cs="궁서"/>
        </w:rPr>
        <w:t xml:space="preserve">                                     Email: </w:t>
      </w:r>
      <w:hyperlink r:id="rId8" w:history="1">
        <w:r>
          <w:rPr>
            <w:rFonts w:ascii="궁서" w:eastAsia="궁서" w:cs="궁서"/>
            <w:color w:val="800080"/>
            <w:u w:val="single" w:color="800080"/>
          </w:rPr>
          <w:t>damcho@chonnam.ac.kr</w:t>
        </w:r>
      </w:hyperlink>
      <w:r>
        <w:rPr>
          <w:rFonts w:ascii="궁서" w:eastAsia="궁서" w:cs="궁서"/>
        </w:rPr>
        <w:t>,</w:t>
      </w:r>
    </w:p>
    <w:p w:rsidR="00A44840" w:rsidRDefault="00D35F5E">
      <w:pPr>
        <w:pStyle w:val="a8"/>
        <w:rPr>
          <w:rFonts w:ascii="궁서" w:eastAsia="궁서" w:cs="궁서"/>
        </w:rPr>
      </w:pPr>
      <w:r>
        <w:rPr>
          <w:rFonts w:ascii="궁서" w:eastAsia="궁서" w:cs="궁서"/>
        </w:rPr>
        <w:t xml:space="preserve">                                             khyongkim@cau.ac.kr</w:t>
      </w:r>
    </w:p>
    <w:p w:rsidR="00A44840" w:rsidRDefault="00D35F5E">
      <w:pPr>
        <w:pStyle w:val="a8"/>
      </w:pPr>
      <w:r>
        <w:rPr>
          <w:rFonts w:ascii="궁서" w:eastAsia="궁서" w:cs="궁서"/>
        </w:rPr>
        <w:t xml:space="preserve">    </w:t>
      </w:r>
    </w:p>
    <w:p w:rsidR="00A44840" w:rsidRDefault="00A44840">
      <w:pPr>
        <w:pStyle w:val="a8"/>
        <w:ind w:firstLine="0"/>
      </w:pPr>
    </w:p>
    <w:p w:rsidR="00A44840" w:rsidRDefault="00A44840">
      <w:pPr>
        <w:pStyle w:val="a8"/>
        <w:ind w:firstLine="0"/>
      </w:pPr>
    </w:p>
    <w:p w:rsidR="00A44840" w:rsidRDefault="00D35F5E">
      <w:pPr>
        <w:pStyle w:val="a8"/>
        <w:ind w:left="200" w:right="200" w:firstLine="0"/>
      </w:pPr>
      <w:proofErr w:type="gramStart"/>
      <w:r>
        <w:rPr>
          <w:b/>
          <w:bCs/>
        </w:rPr>
        <w:t>Summary</w:t>
      </w:r>
      <w:r>
        <w:t xml:space="preserve"> :</w:t>
      </w:r>
      <w:proofErr w:type="gramEnd"/>
      <w:r>
        <w:t xml:space="preserve"> This study compares </w:t>
      </w:r>
      <w:r w:rsidR="00BD5867">
        <w:rPr>
          <w:rFonts w:hint="eastAsia"/>
        </w:rPr>
        <w:t xml:space="preserve">the </w:t>
      </w:r>
      <w:r>
        <w:t>price responses and trading behavior</w:t>
      </w:r>
      <w:r w:rsidR="00BD5867">
        <w:rPr>
          <w:rFonts w:hint="eastAsia"/>
        </w:rPr>
        <w:t>s</w:t>
      </w:r>
      <w:r>
        <w:t xml:space="preserve"> of KOSPI 200 cash and futures in relation to U</w:t>
      </w:r>
      <w:r w:rsidR="00BD5867">
        <w:rPr>
          <w:rFonts w:hint="eastAsia"/>
        </w:rPr>
        <w:t>.</w:t>
      </w:r>
      <w:r>
        <w:t>S</w:t>
      </w:r>
      <w:r w:rsidR="00BD5867">
        <w:rPr>
          <w:rFonts w:hint="eastAsia"/>
        </w:rPr>
        <w:t>.</w:t>
      </w:r>
      <w:r>
        <w:t xml:space="preserve"> market news. Using the KOSPI200 cash and futures price and trading volume minute-by-minute data from January 2001 to August 2012, we find that</w:t>
      </w:r>
      <w:r w:rsidR="00BD5867">
        <w:rPr>
          <w:rFonts w:hint="eastAsia"/>
        </w:rPr>
        <w:t xml:space="preserve"> the</w:t>
      </w:r>
      <w:r>
        <w:t xml:space="preserve"> KOSPI 200 cash market responds more sensitively than</w:t>
      </w:r>
      <w:r w:rsidR="00BD5867">
        <w:rPr>
          <w:rFonts w:hint="eastAsia"/>
        </w:rPr>
        <w:t xml:space="preserve"> the</w:t>
      </w:r>
      <w:r>
        <w:t xml:space="preserve"> KOSPI 200 futures market to overnight U</w:t>
      </w:r>
      <w:r w:rsidR="00BD5867">
        <w:rPr>
          <w:rFonts w:hint="eastAsia"/>
        </w:rPr>
        <w:t>.</w:t>
      </w:r>
      <w:r>
        <w:t>S</w:t>
      </w:r>
      <w:r w:rsidR="00BD5867">
        <w:rPr>
          <w:rFonts w:hint="eastAsia"/>
        </w:rPr>
        <w:t>.</w:t>
      </w:r>
      <w:r>
        <w:t xml:space="preserve"> stock market performance. In both cash and futures market opening</w:t>
      </w:r>
      <w:r w:rsidR="00BD5867">
        <w:rPr>
          <w:rFonts w:hint="eastAsia"/>
        </w:rPr>
        <w:t>,</w:t>
      </w:r>
      <w:r>
        <w:t xml:space="preserve"> prices overreact and the subsequent intraday return reversals are observed. However</w:t>
      </w:r>
      <w:r w:rsidR="00BD5867">
        <w:rPr>
          <w:rFonts w:hint="eastAsia"/>
        </w:rPr>
        <w:t>,</w:t>
      </w:r>
      <w:r>
        <w:t xml:space="preserve"> there is no leads or lags between the two markets in the subsequent intraday return reversals. When the U</w:t>
      </w:r>
      <w:r w:rsidR="00BD5867">
        <w:rPr>
          <w:rFonts w:hint="eastAsia"/>
        </w:rPr>
        <w:t>.</w:t>
      </w:r>
      <w:r>
        <w:t>S</w:t>
      </w:r>
      <w:r w:rsidR="00BD5867">
        <w:rPr>
          <w:rFonts w:hint="eastAsia"/>
        </w:rPr>
        <w:t>.</w:t>
      </w:r>
      <w:r>
        <w:t xml:space="preserve"> market shock is positive on date t-1, foreign institutional investors are net purchasers while domestic individual investors are net sellers</w:t>
      </w:r>
      <w:r w:rsidR="00BD5867">
        <w:rPr>
          <w:rFonts w:hint="eastAsia"/>
        </w:rPr>
        <w:t>;</w:t>
      </w:r>
      <w:r>
        <w:t xml:space="preserve"> this pattern is more apparent in the cash market than in the futures market. We conclude that investors use the U</w:t>
      </w:r>
      <w:r w:rsidR="00BD5867">
        <w:rPr>
          <w:rFonts w:hint="eastAsia"/>
        </w:rPr>
        <w:t>.</w:t>
      </w:r>
      <w:r>
        <w:t>S</w:t>
      </w:r>
      <w:r w:rsidR="00BD5867">
        <w:rPr>
          <w:rFonts w:hint="eastAsia"/>
        </w:rPr>
        <w:t>.</w:t>
      </w:r>
      <w:r>
        <w:t xml:space="preserve"> stock market shocks as </w:t>
      </w:r>
      <w:r w:rsidR="00BD5867">
        <w:rPr>
          <w:rFonts w:hint="eastAsia"/>
        </w:rPr>
        <w:t xml:space="preserve">critical </w:t>
      </w:r>
      <w:r>
        <w:t xml:space="preserve">information in both cash and futures markets. </w:t>
      </w:r>
      <w:r w:rsidR="00BD5867">
        <w:rPr>
          <w:rFonts w:hint="eastAsia"/>
        </w:rPr>
        <w:t>Yet,</w:t>
      </w:r>
      <w:r w:rsidR="00BD5867">
        <w:t xml:space="preserve"> </w:t>
      </w:r>
      <w:r>
        <w:t xml:space="preserve">the extent of the use of </w:t>
      </w:r>
      <w:r w:rsidR="00BD5867">
        <w:rPr>
          <w:rFonts w:hint="eastAsia"/>
        </w:rPr>
        <w:t>such</w:t>
      </w:r>
      <w:r w:rsidR="00BD5867">
        <w:t xml:space="preserve"> </w:t>
      </w:r>
      <w:r>
        <w:t xml:space="preserve">information is higher in the cash market than in the futures market.  </w:t>
      </w:r>
    </w:p>
    <w:p w:rsidR="00A44840" w:rsidRPr="00BD5867" w:rsidRDefault="00A44840">
      <w:pPr>
        <w:pStyle w:val="a8"/>
        <w:ind w:left="200" w:right="200" w:firstLine="0"/>
      </w:pPr>
    </w:p>
    <w:p w:rsidR="00A44840" w:rsidRDefault="00D35F5E">
      <w:pPr>
        <w:pStyle w:val="a8"/>
        <w:ind w:left="200" w:right="200" w:firstLine="0"/>
      </w:pPr>
      <w:r>
        <w:t xml:space="preserve">Keywords: Market efficiency, price response, over reaction, </w:t>
      </w:r>
      <w:proofErr w:type="gramStart"/>
      <w:r>
        <w:t>lead</w:t>
      </w:r>
      <w:proofErr w:type="gramEnd"/>
      <w:r>
        <w:t xml:space="preserve"> and lag relationship</w:t>
      </w:r>
    </w:p>
    <w:p w:rsidR="00A44840" w:rsidRDefault="00A44840">
      <w:pPr>
        <w:pStyle w:val="a8"/>
      </w:pPr>
    </w:p>
    <w:p w:rsidR="00A44840" w:rsidRDefault="00D35F5E">
      <w:r>
        <w:br w:type="page"/>
      </w:r>
    </w:p>
    <w:p w:rsidR="00A44840" w:rsidRDefault="00D35F5E">
      <w:pPr>
        <w:pStyle w:val="aa"/>
      </w:pPr>
      <w:r>
        <w:lastRenderedPageBreak/>
        <w:t>I. Introduction</w:t>
      </w:r>
    </w:p>
    <w:p w:rsidR="00A44840" w:rsidRDefault="00D35F5E">
      <w:pPr>
        <w:pStyle w:val="a8"/>
      </w:pPr>
      <w:r>
        <w:t>There is no objection to the argument that the U</w:t>
      </w:r>
      <w:r w:rsidR="0005773C">
        <w:rPr>
          <w:rFonts w:hint="eastAsia"/>
        </w:rPr>
        <w:t>.</w:t>
      </w:r>
      <w:r>
        <w:t>S</w:t>
      </w:r>
      <w:r w:rsidR="0005773C">
        <w:rPr>
          <w:rFonts w:hint="eastAsia"/>
        </w:rPr>
        <w:t>.</w:t>
      </w:r>
      <w:r>
        <w:t xml:space="preserve"> stock market is the center of </w:t>
      </w:r>
      <w:r w:rsidR="0005773C">
        <w:rPr>
          <w:rFonts w:hint="eastAsia"/>
        </w:rPr>
        <w:t xml:space="preserve">the </w:t>
      </w:r>
      <w:r>
        <w:t>world financial market. The U</w:t>
      </w:r>
      <w:r w:rsidR="0005773C">
        <w:rPr>
          <w:rFonts w:hint="eastAsia"/>
        </w:rPr>
        <w:t>.</w:t>
      </w:r>
      <w:r>
        <w:t>S</w:t>
      </w:r>
      <w:r w:rsidR="0005773C">
        <w:rPr>
          <w:rFonts w:hint="eastAsia"/>
        </w:rPr>
        <w:t>.</w:t>
      </w:r>
      <w:r>
        <w:t xml:space="preserve"> stock market is the largest financial market in the world and it has great influences on other countries</w:t>
      </w:r>
      <w:r>
        <w:t>’</w:t>
      </w:r>
      <w:r>
        <w:t xml:space="preserve"> capital markets. </w:t>
      </w:r>
      <w:r w:rsidR="0005773C">
        <w:rPr>
          <w:rFonts w:hint="eastAsia"/>
        </w:rPr>
        <w:t xml:space="preserve">The </w:t>
      </w:r>
      <w:r>
        <w:t>Korean stock market is no exception</w:t>
      </w:r>
      <w:r w:rsidR="0005773C">
        <w:rPr>
          <w:rFonts w:hint="eastAsia"/>
        </w:rPr>
        <w:t>;</w:t>
      </w:r>
      <w:r>
        <w:t xml:space="preserve"> it treats U</w:t>
      </w:r>
      <w:r w:rsidR="0005773C">
        <w:rPr>
          <w:rFonts w:hint="eastAsia"/>
        </w:rPr>
        <w:t>.</w:t>
      </w:r>
      <w:r>
        <w:t>S</w:t>
      </w:r>
      <w:r w:rsidR="0005773C">
        <w:rPr>
          <w:rFonts w:hint="eastAsia"/>
        </w:rPr>
        <w:t>.</w:t>
      </w:r>
      <w:r>
        <w:t xml:space="preserve"> market news as </w:t>
      </w:r>
      <w:r w:rsidR="0005773C">
        <w:rPr>
          <w:rFonts w:hint="eastAsia"/>
        </w:rPr>
        <w:t>critical</w:t>
      </w:r>
      <w:r>
        <w:t xml:space="preserve"> information and </w:t>
      </w:r>
      <w:r w:rsidR="0005773C">
        <w:rPr>
          <w:rFonts w:hint="eastAsia"/>
        </w:rPr>
        <w:t xml:space="preserve">thus </w:t>
      </w:r>
      <w:r>
        <w:t xml:space="preserve">responds </w:t>
      </w:r>
      <w:r w:rsidR="0005773C">
        <w:rPr>
          <w:rFonts w:hint="eastAsia"/>
        </w:rPr>
        <w:t xml:space="preserve">to the news </w:t>
      </w:r>
      <w:r>
        <w:t>very sensitively. However</w:t>
      </w:r>
      <w:r w:rsidR="0005773C">
        <w:rPr>
          <w:rFonts w:hint="eastAsia"/>
        </w:rPr>
        <w:t>,</w:t>
      </w:r>
      <w:r>
        <w:t xml:space="preserve"> it is controversial </w:t>
      </w:r>
      <w:r w:rsidR="0005773C">
        <w:rPr>
          <w:rFonts w:hint="eastAsia"/>
        </w:rPr>
        <w:t xml:space="preserve">as to </w:t>
      </w:r>
      <w:r>
        <w:t xml:space="preserve">which of the two markets, the cash market or the futures market, </w:t>
      </w:r>
      <w:r w:rsidR="0005773C">
        <w:rPr>
          <w:rFonts w:hint="eastAsia"/>
        </w:rPr>
        <w:t>utilize</w:t>
      </w:r>
      <w:r w:rsidR="0005773C">
        <w:t xml:space="preserve"> </w:t>
      </w:r>
      <w:r>
        <w:t>the</w:t>
      </w:r>
      <w:r w:rsidR="00D821AF">
        <w:t xml:space="preserve"> information more extensively. </w:t>
      </w:r>
    </w:p>
    <w:p w:rsidR="00A44840" w:rsidRDefault="00D35F5E">
      <w:pPr>
        <w:pStyle w:val="a8"/>
      </w:pPr>
      <w:r>
        <w:t xml:space="preserve">This study analyzes </w:t>
      </w:r>
      <w:r w:rsidR="0005773C">
        <w:rPr>
          <w:rFonts w:hint="eastAsia"/>
        </w:rPr>
        <w:t xml:space="preserve">the </w:t>
      </w:r>
      <w:r>
        <w:t>with-in-a-day price response patterns of both KOSPI 200 cash and futures against U</w:t>
      </w:r>
      <w:r w:rsidR="0005773C">
        <w:rPr>
          <w:rFonts w:hint="eastAsia"/>
        </w:rPr>
        <w:t>.</w:t>
      </w:r>
      <w:r>
        <w:t>S</w:t>
      </w:r>
      <w:r w:rsidR="0005773C">
        <w:rPr>
          <w:rFonts w:hint="eastAsia"/>
        </w:rPr>
        <w:t>.</w:t>
      </w:r>
      <w:r>
        <w:t xml:space="preserve"> market shocks. </w:t>
      </w:r>
      <w:r w:rsidR="0005773C">
        <w:rPr>
          <w:rFonts w:hint="eastAsia"/>
        </w:rPr>
        <w:t>R</w:t>
      </w:r>
      <w:r w:rsidR="0005773C">
        <w:t xml:space="preserve">esponses </w:t>
      </w:r>
      <w:r>
        <w:t>against U</w:t>
      </w:r>
      <w:r w:rsidR="0005773C">
        <w:rPr>
          <w:rFonts w:hint="eastAsia"/>
        </w:rPr>
        <w:t>.</w:t>
      </w:r>
      <w:r>
        <w:t>S</w:t>
      </w:r>
      <w:r w:rsidR="0005773C">
        <w:rPr>
          <w:rFonts w:hint="eastAsia"/>
        </w:rPr>
        <w:t>.</w:t>
      </w:r>
      <w:r>
        <w:t xml:space="preserve"> market shocks have been analyzed from various perspectives. Specifically</w:t>
      </w:r>
      <w:r w:rsidR="0005773C">
        <w:rPr>
          <w:rFonts w:hint="eastAsia"/>
        </w:rPr>
        <w:t>,</w:t>
      </w:r>
      <w:r>
        <w:t xml:space="preserve"> empirical evidences on world market integration, stock price synchronization, </w:t>
      </w:r>
      <w:proofErr w:type="gramStart"/>
      <w:r>
        <w:t>contagion</w:t>
      </w:r>
      <w:proofErr w:type="gramEnd"/>
      <w:r>
        <w:t xml:space="preserve"> effect</w:t>
      </w:r>
      <w:r w:rsidR="0005773C">
        <w:rPr>
          <w:rFonts w:hint="eastAsia"/>
        </w:rPr>
        <w:t xml:space="preserve"> and</w:t>
      </w:r>
      <w:r>
        <w:t xml:space="preserve"> market efficiency are accumulating in recent studies. This study is an additional empirical attempt to those empirical evidences. </w:t>
      </w:r>
      <w:r w:rsidR="0005773C">
        <w:rPr>
          <w:rFonts w:hint="eastAsia"/>
        </w:rPr>
        <w:t>However,</w:t>
      </w:r>
      <w:r w:rsidR="0005773C">
        <w:t xml:space="preserve"> </w:t>
      </w:r>
      <w:r>
        <w:t xml:space="preserve">it is more articulate than the previous studies in that it concentrates on </w:t>
      </w:r>
      <w:r w:rsidR="0005773C">
        <w:rPr>
          <w:rFonts w:hint="eastAsia"/>
        </w:rPr>
        <w:t xml:space="preserve">the </w:t>
      </w:r>
      <w:r>
        <w:t>with-in-a-day responses of both of the cash and futures market against U</w:t>
      </w:r>
      <w:r w:rsidR="0005773C">
        <w:rPr>
          <w:rFonts w:hint="eastAsia"/>
        </w:rPr>
        <w:t>.</w:t>
      </w:r>
      <w:r>
        <w:t>S</w:t>
      </w:r>
      <w:r w:rsidR="0005773C">
        <w:rPr>
          <w:rFonts w:hint="eastAsia"/>
        </w:rPr>
        <w:t>.</w:t>
      </w:r>
      <w:r>
        <w:t xml:space="preserve"> market shocks. </w:t>
      </w:r>
    </w:p>
    <w:p w:rsidR="00A44840" w:rsidRDefault="00D35F5E">
      <w:pPr>
        <w:pStyle w:val="a8"/>
      </w:pPr>
      <w:r>
        <w:t xml:space="preserve">From the perspective of </w:t>
      </w:r>
      <w:r w:rsidR="00BC15C0">
        <w:rPr>
          <w:rFonts w:hint="eastAsia"/>
        </w:rPr>
        <w:t xml:space="preserve">the </w:t>
      </w:r>
      <w:r>
        <w:t>market efficiency test, U</w:t>
      </w:r>
      <w:r w:rsidR="00BC15C0">
        <w:rPr>
          <w:rFonts w:hint="eastAsia"/>
        </w:rPr>
        <w:t>.</w:t>
      </w:r>
      <w:r>
        <w:t>S</w:t>
      </w:r>
      <w:r w:rsidR="00BC15C0">
        <w:rPr>
          <w:rFonts w:hint="eastAsia"/>
        </w:rPr>
        <w:t>.</w:t>
      </w:r>
      <w:r>
        <w:t xml:space="preserve"> stock market news is a very interesting subject. The news on U</w:t>
      </w:r>
      <w:r w:rsidR="00BC15C0">
        <w:rPr>
          <w:rFonts w:hint="eastAsia"/>
        </w:rPr>
        <w:t>.</w:t>
      </w:r>
      <w:r>
        <w:t>S</w:t>
      </w:r>
      <w:r w:rsidR="00BC15C0">
        <w:rPr>
          <w:rFonts w:hint="eastAsia"/>
        </w:rPr>
        <w:t>.</w:t>
      </w:r>
      <w:r>
        <w:t xml:space="preserve"> stock price change</w:t>
      </w:r>
      <w:r w:rsidR="00BC15C0">
        <w:rPr>
          <w:rFonts w:hint="eastAsia"/>
        </w:rPr>
        <w:t>s</w:t>
      </w:r>
      <w:r>
        <w:t>, unlike other news, is defined as articulate information</w:t>
      </w:r>
      <w:r w:rsidR="00BC15C0">
        <w:rPr>
          <w:rFonts w:hint="eastAsia"/>
        </w:rPr>
        <w:t>,</w:t>
      </w:r>
      <w:r>
        <w:t xml:space="preserve"> as it is not contaminated by other news. </w:t>
      </w:r>
      <w:r w:rsidR="00BC15C0">
        <w:rPr>
          <w:rFonts w:hint="eastAsia"/>
        </w:rPr>
        <w:t>Further,</w:t>
      </w:r>
      <w:r w:rsidR="00BC15C0">
        <w:t xml:space="preserve"> </w:t>
      </w:r>
      <w:r>
        <w:t>it is quantitative information</w:t>
      </w:r>
      <w:r w:rsidR="00BC15C0">
        <w:rPr>
          <w:rFonts w:hint="eastAsia"/>
        </w:rPr>
        <w:t>,</w:t>
      </w:r>
      <w:r>
        <w:t xml:space="preserve"> as it can be measured explicitly as the timing of </w:t>
      </w:r>
      <w:r w:rsidR="00BC15C0">
        <w:rPr>
          <w:rFonts w:hint="eastAsia"/>
        </w:rPr>
        <w:t xml:space="preserve">the </w:t>
      </w:r>
      <w:r>
        <w:t>announcement is clearly defined. The U</w:t>
      </w:r>
      <w:r w:rsidR="00BC15C0">
        <w:rPr>
          <w:rFonts w:hint="eastAsia"/>
        </w:rPr>
        <w:t>.</w:t>
      </w:r>
      <w:r>
        <w:t>S</w:t>
      </w:r>
      <w:r w:rsidR="00BC15C0">
        <w:rPr>
          <w:rFonts w:hint="eastAsia"/>
        </w:rPr>
        <w:t>.</w:t>
      </w:r>
      <w:r>
        <w:t xml:space="preserve"> stock market information is distributed evenly and instantaneously to all investors in Korea </w:t>
      </w:r>
      <w:r w:rsidR="00BC15C0">
        <w:rPr>
          <w:rFonts w:hint="eastAsia"/>
        </w:rPr>
        <w:t>free of</w:t>
      </w:r>
      <w:r>
        <w:t xml:space="preserve"> cost. Therefore</w:t>
      </w:r>
      <w:r w:rsidR="00BC15C0">
        <w:rPr>
          <w:rFonts w:hint="eastAsia"/>
        </w:rPr>
        <w:t>,</w:t>
      </w:r>
      <w:r>
        <w:t xml:space="preserve"> if the market is fully efficient, the </w:t>
      </w:r>
      <w:r w:rsidR="00BC15C0">
        <w:rPr>
          <w:rFonts w:hint="eastAsia"/>
        </w:rPr>
        <w:t xml:space="preserve">change in </w:t>
      </w:r>
      <w:r w:rsidR="00BC15C0">
        <w:t>the</w:t>
      </w:r>
      <w:r w:rsidR="00BC15C0">
        <w:rPr>
          <w:rFonts w:hint="eastAsia"/>
        </w:rPr>
        <w:t xml:space="preserve"> </w:t>
      </w:r>
      <w:r>
        <w:t>U</w:t>
      </w:r>
      <w:r w:rsidR="00BC15C0">
        <w:rPr>
          <w:rFonts w:hint="eastAsia"/>
        </w:rPr>
        <w:t>.</w:t>
      </w:r>
      <w:r>
        <w:t>S</w:t>
      </w:r>
      <w:r w:rsidR="00BC15C0">
        <w:rPr>
          <w:rFonts w:hint="eastAsia"/>
        </w:rPr>
        <w:t>.</w:t>
      </w:r>
      <w:r>
        <w:t xml:space="preserve"> stock price on date t-1 should be fully and sufficiently reflected on the opening price of the Korean market on date t and there should not be any additional responses. Also</w:t>
      </w:r>
      <w:r w:rsidR="00BC15C0">
        <w:rPr>
          <w:rFonts w:hint="eastAsia"/>
        </w:rPr>
        <w:t>,</w:t>
      </w:r>
      <w:r>
        <w:t xml:space="preserve"> both the spot and futures market responses must be simultaneous</w:t>
      </w:r>
      <w:r w:rsidR="00BC15C0">
        <w:rPr>
          <w:rFonts w:hint="eastAsia"/>
        </w:rPr>
        <w:t xml:space="preserve"> and equal</w:t>
      </w:r>
      <w:r>
        <w:t xml:space="preserve">.  </w:t>
      </w:r>
    </w:p>
    <w:p w:rsidR="00A44840" w:rsidRDefault="00D35F5E">
      <w:pPr>
        <w:pStyle w:val="a8"/>
      </w:pPr>
      <w:r>
        <w:t>This study uses 2,891 day 15 minute interval data from January 2001 to August 2012</w:t>
      </w:r>
      <w:r w:rsidR="001B17BA">
        <w:rPr>
          <w:rFonts w:hint="eastAsia"/>
        </w:rPr>
        <w:t xml:space="preserve"> in order</w:t>
      </w:r>
      <w:r>
        <w:t xml:space="preserve"> to 1) investigate how differently the KOSPI 200 cash and futures respond to U.S. stock market information using </w:t>
      </w:r>
      <w:r w:rsidR="001B17BA">
        <w:rPr>
          <w:rFonts w:hint="eastAsia"/>
        </w:rPr>
        <w:t xml:space="preserve">a </w:t>
      </w:r>
      <w:r>
        <w:t>15</w:t>
      </w:r>
      <w:r w:rsidR="001B17BA">
        <w:rPr>
          <w:rFonts w:hint="eastAsia"/>
        </w:rPr>
        <w:t>-</w:t>
      </w:r>
      <w:r>
        <w:t>minute interval data from the opening time to the closing time on each trading date</w:t>
      </w:r>
      <w:r w:rsidR="001B17BA">
        <w:rPr>
          <w:rFonts w:hint="eastAsia"/>
        </w:rPr>
        <w:t>,</w:t>
      </w:r>
      <w:r>
        <w:t xml:space="preserve"> 2) compare </w:t>
      </w:r>
      <w:r w:rsidR="001B17BA">
        <w:rPr>
          <w:rFonts w:hint="eastAsia"/>
        </w:rPr>
        <w:t xml:space="preserve">the </w:t>
      </w:r>
      <w:r>
        <w:t>trading behavior of each investor group</w:t>
      </w:r>
      <w:r w:rsidR="001B17BA">
        <w:rPr>
          <w:rFonts w:hint="eastAsia"/>
        </w:rPr>
        <w:t xml:space="preserve"> </w:t>
      </w:r>
      <w:r>
        <w:t>(individual, foreign</w:t>
      </w:r>
      <w:r w:rsidR="001B17BA">
        <w:rPr>
          <w:rFonts w:hint="eastAsia"/>
        </w:rPr>
        <w:t xml:space="preserve"> and </w:t>
      </w:r>
      <w:r>
        <w:t>institution) in response to the U</w:t>
      </w:r>
      <w:r w:rsidR="001B17BA">
        <w:rPr>
          <w:rFonts w:hint="eastAsia"/>
        </w:rPr>
        <w:t>.</w:t>
      </w:r>
      <w:r>
        <w:t>S</w:t>
      </w:r>
      <w:r w:rsidR="001B17BA">
        <w:rPr>
          <w:rFonts w:hint="eastAsia"/>
        </w:rPr>
        <w:t>.</w:t>
      </w:r>
      <w:r>
        <w:t xml:space="preserve"> stock market shocks. It is worthwhile to </w:t>
      </w:r>
      <w:r w:rsidR="001B17BA">
        <w:rPr>
          <w:rFonts w:hint="eastAsia"/>
        </w:rPr>
        <w:t>note</w:t>
      </w:r>
      <w:r w:rsidR="001B17BA">
        <w:t xml:space="preserve"> </w:t>
      </w:r>
      <w:r>
        <w:t xml:space="preserve">that the study uses </w:t>
      </w:r>
      <w:r w:rsidR="001B17BA">
        <w:rPr>
          <w:rFonts w:hint="eastAsia"/>
        </w:rPr>
        <w:t xml:space="preserve">a </w:t>
      </w:r>
      <w:r>
        <w:t>15</w:t>
      </w:r>
      <w:r w:rsidR="001B17BA">
        <w:rPr>
          <w:rFonts w:hint="eastAsia"/>
        </w:rPr>
        <w:t>-</w:t>
      </w:r>
      <w:r>
        <w:t xml:space="preserve">minute interval data. First, by tracking </w:t>
      </w:r>
      <w:r w:rsidR="001B17BA">
        <w:rPr>
          <w:rFonts w:hint="eastAsia"/>
        </w:rPr>
        <w:t xml:space="preserve">the </w:t>
      </w:r>
      <w:r>
        <w:t xml:space="preserve">Korean market using </w:t>
      </w:r>
      <w:r w:rsidR="001B17BA">
        <w:rPr>
          <w:rFonts w:hint="eastAsia"/>
        </w:rPr>
        <w:t xml:space="preserve">a </w:t>
      </w:r>
      <w:r>
        <w:t>15</w:t>
      </w:r>
      <w:r w:rsidR="001B17BA">
        <w:rPr>
          <w:rFonts w:hint="eastAsia"/>
        </w:rPr>
        <w:t>-minute</w:t>
      </w:r>
      <w:r>
        <w:t xml:space="preserve"> interval data, we can </w:t>
      </w:r>
      <w:r w:rsidR="001B17BA">
        <w:rPr>
          <w:rFonts w:hint="eastAsia"/>
        </w:rPr>
        <w:t>attain</w:t>
      </w:r>
      <w:r w:rsidR="001B17BA">
        <w:t xml:space="preserve"> </w:t>
      </w:r>
      <w:r>
        <w:t>very fine evidence on market efficiency. Second, we can</w:t>
      </w:r>
      <w:r w:rsidR="001B17BA">
        <w:rPr>
          <w:rFonts w:hint="eastAsia"/>
        </w:rPr>
        <w:t xml:space="preserve"> also</w:t>
      </w:r>
      <w:r>
        <w:t xml:space="preserve"> investigate which market leads </w:t>
      </w:r>
      <w:r w:rsidR="001B17BA">
        <w:rPr>
          <w:rFonts w:hint="eastAsia"/>
        </w:rPr>
        <w:t xml:space="preserve">to </w:t>
      </w:r>
      <w:r>
        <w:t xml:space="preserve">which market. </w:t>
      </w:r>
    </w:p>
    <w:p w:rsidR="00A44840" w:rsidRDefault="00D35F5E">
      <w:pPr>
        <w:pStyle w:val="a8"/>
      </w:pPr>
      <w:r>
        <w:t>Generally, we assume that the futures market leads</w:t>
      </w:r>
      <w:r w:rsidR="001B17BA">
        <w:rPr>
          <w:rFonts w:hint="eastAsia"/>
        </w:rPr>
        <w:t xml:space="preserve"> to</w:t>
      </w:r>
      <w:r>
        <w:t xml:space="preserve"> the spot market as arbitrage and speculation is much more easily </w:t>
      </w:r>
      <w:r w:rsidR="001B17BA">
        <w:rPr>
          <w:rFonts w:hint="eastAsia"/>
        </w:rPr>
        <w:t>performed</w:t>
      </w:r>
      <w:r w:rsidR="001B17BA">
        <w:t xml:space="preserve"> </w:t>
      </w:r>
      <w:r>
        <w:t>in the futures market. In this context</w:t>
      </w:r>
      <w:r w:rsidR="001B17BA">
        <w:rPr>
          <w:rFonts w:hint="eastAsia"/>
        </w:rPr>
        <w:t>,</w:t>
      </w:r>
      <w:r>
        <w:t xml:space="preserve"> we may suspect that the Korean futures market responds to U</w:t>
      </w:r>
      <w:r w:rsidR="001B17BA">
        <w:rPr>
          <w:rFonts w:hint="eastAsia"/>
        </w:rPr>
        <w:t>.</w:t>
      </w:r>
      <w:r>
        <w:t>S</w:t>
      </w:r>
      <w:r w:rsidR="001B17BA">
        <w:rPr>
          <w:rFonts w:hint="eastAsia"/>
        </w:rPr>
        <w:t>.</w:t>
      </w:r>
      <w:r>
        <w:t xml:space="preserve"> market news more promptly than the spot market. This analysis is possible by analyzing and comparing the buying and selling behavior </w:t>
      </w:r>
      <w:r w:rsidR="001B17BA">
        <w:rPr>
          <w:rFonts w:hint="eastAsia"/>
        </w:rPr>
        <w:t>as well as the</w:t>
      </w:r>
      <w:r w:rsidR="001B17BA">
        <w:t xml:space="preserve"> </w:t>
      </w:r>
      <w:r>
        <w:t>trading volume for each trading interval of each investor group</w:t>
      </w:r>
      <w:r w:rsidR="001B17BA">
        <w:rPr>
          <w:rFonts w:hint="eastAsia"/>
        </w:rPr>
        <w:t xml:space="preserve"> </w:t>
      </w:r>
      <w:r>
        <w:t xml:space="preserve">(individual domestic </w:t>
      </w:r>
      <w:r>
        <w:lastRenderedPageBreak/>
        <w:t xml:space="preserve">investors, institutional domestic investors and foreign institutional investors).    </w:t>
      </w:r>
    </w:p>
    <w:p w:rsidR="00A44840" w:rsidRPr="003D65C8" w:rsidRDefault="0094672B" w:rsidP="006B03CF">
      <w:pPr>
        <w:pStyle w:val="a8"/>
        <w:rPr>
          <w:color w:val="auto"/>
        </w:rPr>
      </w:pPr>
      <w:r w:rsidRPr="003D65C8">
        <w:rPr>
          <w:rFonts w:hint="eastAsia"/>
          <w:color w:val="auto"/>
        </w:rPr>
        <w:t xml:space="preserve">This paper is organized as follows. </w:t>
      </w:r>
      <w:r w:rsidR="008F67E3" w:rsidRPr="003D65C8">
        <w:rPr>
          <w:color w:val="auto"/>
        </w:rPr>
        <w:t>Chapter II reviews literatures which are related to the reactions of capital markets to U</w:t>
      </w:r>
      <w:r w:rsidR="008F67E3" w:rsidRPr="003D65C8">
        <w:rPr>
          <w:rFonts w:hint="eastAsia"/>
          <w:color w:val="auto"/>
        </w:rPr>
        <w:t>.</w:t>
      </w:r>
      <w:r w:rsidR="008F67E3" w:rsidRPr="003D65C8">
        <w:rPr>
          <w:color w:val="auto"/>
        </w:rPr>
        <w:t>S</w:t>
      </w:r>
      <w:r w:rsidR="008F67E3" w:rsidRPr="003D65C8">
        <w:rPr>
          <w:rFonts w:hint="eastAsia"/>
          <w:color w:val="auto"/>
        </w:rPr>
        <w:t>.</w:t>
      </w:r>
      <w:r w:rsidR="008F67E3" w:rsidRPr="003D65C8">
        <w:rPr>
          <w:color w:val="auto"/>
        </w:rPr>
        <w:t xml:space="preserve"> market news. Chapter III describes the data and provides </w:t>
      </w:r>
      <w:r w:rsidR="008F67E3" w:rsidRPr="003D65C8">
        <w:rPr>
          <w:rFonts w:hint="eastAsia"/>
          <w:color w:val="auto"/>
        </w:rPr>
        <w:t xml:space="preserve">the </w:t>
      </w:r>
      <w:r w:rsidR="008F67E3" w:rsidRPr="003D65C8">
        <w:rPr>
          <w:color w:val="auto"/>
        </w:rPr>
        <w:t>descriptive statistics. Chapter IV reports and interprets the reactions of the cash and the futures market to U</w:t>
      </w:r>
      <w:r w:rsidR="008F67E3" w:rsidRPr="003D65C8">
        <w:rPr>
          <w:rFonts w:hint="eastAsia"/>
          <w:color w:val="auto"/>
        </w:rPr>
        <w:t>.</w:t>
      </w:r>
      <w:r w:rsidR="008F67E3" w:rsidRPr="003D65C8">
        <w:rPr>
          <w:color w:val="auto"/>
        </w:rPr>
        <w:t>S</w:t>
      </w:r>
      <w:r w:rsidR="008F67E3" w:rsidRPr="003D65C8">
        <w:rPr>
          <w:rFonts w:hint="eastAsia"/>
          <w:color w:val="auto"/>
        </w:rPr>
        <w:t>.</w:t>
      </w:r>
      <w:r w:rsidR="008F67E3" w:rsidRPr="003D65C8">
        <w:rPr>
          <w:color w:val="auto"/>
        </w:rPr>
        <w:t xml:space="preserve"> market news. </w:t>
      </w:r>
      <w:r w:rsidR="008F67E3" w:rsidRPr="003D65C8">
        <w:rPr>
          <w:rFonts w:hint="eastAsia"/>
          <w:color w:val="auto"/>
        </w:rPr>
        <w:t xml:space="preserve">Lastly, </w:t>
      </w:r>
      <w:r w:rsidR="008F67E3" w:rsidRPr="003D65C8">
        <w:rPr>
          <w:color w:val="auto"/>
        </w:rPr>
        <w:t xml:space="preserve">Chapter V </w:t>
      </w:r>
      <w:r w:rsidR="008F67E3" w:rsidRPr="003D65C8">
        <w:rPr>
          <w:rFonts w:hint="eastAsia"/>
          <w:color w:val="auto"/>
        </w:rPr>
        <w:t>provides</w:t>
      </w:r>
      <w:r w:rsidR="008F67E3" w:rsidRPr="003D65C8">
        <w:rPr>
          <w:color w:val="auto"/>
        </w:rPr>
        <w:t xml:space="preserve"> the summary and conclusion. </w:t>
      </w:r>
    </w:p>
    <w:p w:rsidR="00A44840" w:rsidRDefault="00A44840">
      <w:pPr>
        <w:pStyle w:val="a8"/>
      </w:pPr>
    </w:p>
    <w:p w:rsidR="00A44840" w:rsidRDefault="00D35F5E">
      <w:pPr>
        <w:pStyle w:val="aa"/>
      </w:pPr>
      <w:r>
        <w:t>II. Previous Studies</w:t>
      </w:r>
    </w:p>
    <w:p w:rsidR="00A44840" w:rsidRDefault="00D35F5E">
      <w:pPr>
        <w:pStyle w:val="a8"/>
      </w:pPr>
      <w:r>
        <w:t>There have been many studies on the inter-relationship among many countries</w:t>
      </w:r>
      <w:r>
        <w:t>’</w:t>
      </w:r>
      <w:r>
        <w:t xml:space="preserve"> stock markets </w:t>
      </w:r>
      <w:r w:rsidR="006908A3">
        <w:rPr>
          <w:rFonts w:hint="eastAsia"/>
        </w:rPr>
        <w:t>during</w:t>
      </w:r>
      <w:r>
        <w:t xml:space="preserve"> late 1980s. These studies are divided into two groups according to their research objectives and methodologies. The first group investigates the long-term relationships among many stock markets. They concentrate on finding empirical evidence on international capital market integration. Their usual methodologies are VAR and VECM.  The second group investigates whether there is any information </w:t>
      </w:r>
      <w:r w:rsidR="006908A3">
        <w:t>spillover</w:t>
      </w:r>
      <w:r>
        <w:t xml:space="preserve"> effect among many countries</w:t>
      </w:r>
      <w:r>
        <w:t>’</w:t>
      </w:r>
      <w:r>
        <w:t xml:space="preserve"> stock markets. Their methodologies usually</w:t>
      </w:r>
      <w:r w:rsidR="006908A3">
        <w:rPr>
          <w:rFonts w:hint="eastAsia"/>
        </w:rPr>
        <w:t xml:space="preserve"> utilize</w:t>
      </w:r>
      <w:r>
        <w:t xml:space="preserve"> conditional </w:t>
      </w:r>
      <w:proofErr w:type="spellStart"/>
      <w:r>
        <w:t>heteroskedasticity</w:t>
      </w:r>
      <w:proofErr w:type="spellEnd"/>
      <w:r>
        <w:t xml:space="preserve"> tests</w:t>
      </w:r>
      <w:r w:rsidR="006908A3">
        <w:rPr>
          <w:rFonts w:hint="eastAsia"/>
        </w:rPr>
        <w:t>, such as</w:t>
      </w:r>
      <w:r>
        <w:t xml:space="preserve"> GARCH.  </w:t>
      </w:r>
    </w:p>
    <w:p w:rsidR="00A44840" w:rsidRDefault="00D35F5E">
      <w:pPr>
        <w:pStyle w:val="a8"/>
      </w:pPr>
      <w:r>
        <w:t xml:space="preserve"> An earlier study on the relationship among many stock markets is by </w:t>
      </w:r>
      <w:proofErr w:type="spellStart"/>
      <w:r>
        <w:t>Eun</w:t>
      </w:r>
      <w:proofErr w:type="spellEnd"/>
      <w:r>
        <w:t xml:space="preserve"> &amp; Shim</w:t>
      </w:r>
      <w:r w:rsidR="006908A3">
        <w:rPr>
          <w:rFonts w:hint="eastAsia"/>
        </w:rPr>
        <w:t xml:space="preserve"> </w:t>
      </w:r>
      <w:r>
        <w:t xml:space="preserve">(1989). They used VAR(15) </w:t>
      </w:r>
      <w:r w:rsidR="006908A3">
        <w:rPr>
          <w:rFonts w:hint="eastAsia"/>
        </w:rPr>
        <w:t xml:space="preserve">in order </w:t>
      </w:r>
      <w:r>
        <w:t>to investigate the relationship among nine countries</w:t>
      </w:r>
      <w:r w:rsidR="006908A3">
        <w:t>’</w:t>
      </w:r>
      <w:r>
        <w:t xml:space="preserve"> (Australia, Japan, Hong Kong, the United Kingdom, Swiss, France, Germany, Canada</w:t>
      </w:r>
      <w:r w:rsidR="006908A3">
        <w:rPr>
          <w:rFonts w:hint="eastAsia"/>
        </w:rPr>
        <w:t xml:space="preserve"> and</w:t>
      </w:r>
      <w:r>
        <w:t xml:space="preserve"> the U</w:t>
      </w:r>
      <w:r w:rsidR="006908A3">
        <w:rPr>
          <w:rFonts w:hint="eastAsia"/>
        </w:rPr>
        <w:t>.</w:t>
      </w:r>
      <w:r>
        <w:t>S</w:t>
      </w:r>
      <w:r w:rsidR="006908A3">
        <w:rPr>
          <w:rFonts w:hint="eastAsia"/>
        </w:rPr>
        <w:t>.</w:t>
      </w:r>
      <w:r>
        <w:t>) stock markets from December 31</w:t>
      </w:r>
      <w:r w:rsidR="00644B58">
        <w:rPr>
          <w:rFonts w:hint="eastAsia"/>
        </w:rPr>
        <w:t>,</w:t>
      </w:r>
      <w:r>
        <w:t xml:space="preserve"> 1979 to December 20</w:t>
      </w:r>
      <w:r w:rsidR="00644B58">
        <w:rPr>
          <w:rFonts w:hint="eastAsia"/>
        </w:rPr>
        <w:t>,</w:t>
      </w:r>
      <w:r>
        <w:t xml:space="preserve"> 1985. They </w:t>
      </w:r>
      <w:r w:rsidR="00644B58">
        <w:rPr>
          <w:rFonts w:hint="eastAsia"/>
        </w:rPr>
        <w:t>conveyed</w:t>
      </w:r>
      <w:r w:rsidR="00644B58">
        <w:t xml:space="preserve"> </w:t>
      </w:r>
      <w:r>
        <w:t>that the U</w:t>
      </w:r>
      <w:r w:rsidR="00644B58">
        <w:rPr>
          <w:rFonts w:hint="eastAsia"/>
        </w:rPr>
        <w:t>.</w:t>
      </w:r>
      <w:r>
        <w:t>S</w:t>
      </w:r>
      <w:r w:rsidR="00644B58">
        <w:rPr>
          <w:rFonts w:hint="eastAsia"/>
        </w:rPr>
        <w:t>.</w:t>
      </w:r>
      <w:r>
        <w:t xml:space="preserve"> market is the center of the world financial market in that it impacts other markets</w:t>
      </w:r>
      <w:r w:rsidR="00644B58">
        <w:rPr>
          <w:rFonts w:hint="eastAsia"/>
        </w:rPr>
        <w:t xml:space="preserve"> </w:t>
      </w:r>
      <w:r>
        <w:t xml:space="preserve">(not the other way round) by investigating </w:t>
      </w:r>
      <w:r w:rsidR="00644B58">
        <w:rPr>
          <w:rFonts w:hint="eastAsia"/>
        </w:rPr>
        <w:t xml:space="preserve">the </w:t>
      </w:r>
      <w:r>
        <w:t xml:space="preserve">impulse response function. </w:t>
      </w:r>
    </w:p>
    <w:p w:rsidR="00A44840" w:rsidRDefault="00D35F5E">
      <w:pPr>
        <w:pStyle w:val="a8"/>
      </w:pPr>
      <w:proofErr w:type="spellStart"/>
      <w:r>
        <w:t>Hamao</w:t>
      </w:r>
      <w:proofErr w:type="spellEnd"/>
      <w:r>
        <w:t xml:space="preserve">, </w:t>
      </w:r>
      <w:proofErr w:type="spellStart"/>
      <w:r>
        <w:t>Masulis</w:t>
      </w:r>
      <w:proofErr w:type="spellEnd"/>
      <w:r>
        <w:t xml:space="preserve"> &amp; Ng</w:t>
      </w:r>
      <w:r w:rsidR="006908A3">
        <w:rPr>
          <w:rFonts w:hint="eastAsia"/>
        </w:rPr>
        <w:t xml:space="preserve"> </w:t>
      </w:r>
      <w:r>
        <w:t xml:space="preserve">(1990) estimated </w:t>
      </w:r>
      <w:r w:rsidR="00644B58">
        <w:rPr>
          <w:rFonts w:hint="eastAsia"/>
        </w:rPr>
        <w:t xml:space="preserve">the </w:t>
      </w:r>
      <w:proofErr w:type="gramStart"/>
      <w:r>
        <w:t>GARCH(</w:t>
      </w:r>
      <w:proofErr w:type="gramEnd"/>
      <w:r>
        <w:t xml:space="preserve">1,1)-M model </w:t>
      </w:r>
      <w:r w:rsidR="00644B58">
        <w:rPr>
          <w:rFonts w:hint="eastAsia"/>
        </w:rPr>
        <w:t xml:space="preserve">by </w:t>
      </w:r>
      <w:r>
        <w:t xml:space="preserve">using </w:t>
      </w:r>
      <w:r w:rsidR="00644B58">
        <w:rPr>
          <w:rFonts w:hint="eastAsia"/>
        </w:rPr>
        <w:t xml:space="preserve">the </w:t>
      </w:r>
      <w:r>
        <w:t>daily night and day returns of S&amp;P</w:t>
      </w:r>
      <w:r w:rsidR="004737B0">
        <w:rPr>
          <w:rFonts w:hint="eastAsia"/>
        </w:rPr>
        <w:t xml:space="preserve"> </w:t>
      </w:r>
      <w:r>
        <w:t>500, FTSE</w:t>
      </w:r>
      <w:r w:rsidR="00644B58">
        <w:rPr>
          <w:rFonts w:hint="eastAsia"/>
        </w:rPr>
        <w:t xml:space="preserve"> and</w:t>
      </w:r>
      <w:r>
        <w:t xml:space="preserve"> Nikkei</w:t>
      </w:r>
      <w:r w:rsidR="004737B0">
        <w:rPr>
          <w:rFonts w:hint="eastAsia"/>
        </w:rPr>
        <w:t xml:space="preserve"> </w:t>
      </w:r>
      <w:r>
        <w:t xml:space="preserve">225. They found that there </w:t>
      </w:r>
      <w:r w:rsidR="00644B58">
        <w:rPr>
          <w:rFonts w:hint="eastAsia"/>
        </w:rPr>
        <w:t>is a</w:t>
      </w:r>
      <w:r w:rsidR="00644B58">
        <w:t xml:space="preserve"> </w:t>
      </w:r>
      <w:r>
        <w:t xml:space="preserve">strong mean spillover effect among the three markets and interpreted </w:t>
      </w:r>
      <w:r w:rsidR="00644B58">
        <w:rPr>
          <w:rFonts w:hint="eastAsia"/>
        </w:rPr>
        <w:t>such result</w:t>
      </w:r>
      <w:r w:rsidR="00644B58">
        <w:t xml:space="preserve"> </w:t>
      </w:r>
      <w:r>
        <w:t xml:space="preserve">as evidence of financial market integration.  </w:t>
      </w:r>
    </w:p>
    <w:p w:rsidR="00A44840" w:rsidRDefault="00D35F5E">
      <w:pPr>
        <w:pStyle w:val="a8"/>
      </w:pPr>
      <w:r>
        <w:t>Lin, Engle &amp; Ito</w:t>
      </w:r>
      <w:r w:rsidR="006908A3">
        <w:rPr>
          <w:rFonts w:hint="eastAsia"/>
        </w:rPr>
        <w:t xml:space="preserve"> </w:t>
      </w:r>
      <w:r>
        <w:t>(1994) investigated</w:t>
      </w:r>
      <w:r w:rsidR="00644B58">
        <w:rPr>
          <w:rFonts w:hint="eastAsia"/>
        </w:rPr>
        <w:t xml:space="preserve"> the</w:t>
      </w:r>
      <w:r>
        <w:t xml:space="preserve"> regression relationship on</w:t>
      </w:r>
      <w:r w:rsidR="00644B58">
        <w:rPr>
          <w:rFonts w:hint="eastAsia"/>
        </w:rPr>
        <w:t xml:space="preserve"> the</w:t>
      </w:r>
      <w:r>
        <w:t xml:space="preserve"> daily return </w:t>
      </w:r>
      <w:r w:rsidR="000919B2">
        <w:rPr>
          <w:rFonts w:hint="eastAsia"/>
        </w:rPr>
        <w:t>of</w:t>
      </w:r>
      <w:r w:rsidR="000919B2">
        <w:t xml:space="preserve"> </w:t>
      </w:r>
      <w:r>
        <w:t>S&amp;P</w:t>
      </w:r>
      <w:r w:rsidR="004737B0">
        <w:rPr>
          <w:rFonts w:hint="eastAsia"/>
        </w:rPr>
        <w:t xml:space="preserve"> </w:t>
      </w:r>
      <w:r>
        <w:t>500 and Nikkei 225 from April 1989 and December 1989. They found that one country</w:t>
      </w:r>
      <w:r>
        <w:t>’</w:t>
      </w:r>
      <w:r>
        <w:t>s day return is significantly explained by its own night return and other countries</w:t>
      </w:r>
      <w:r>
        <w:t>’</w:t>
      </w:r>
      <w:r>
        <w:t xml:space="preserve"> previous day return. </w:t>
      </w:r>
      <w:proofErr w:type="spellStart"/>
      <w:r>
        <w:t>Susmel</w:t>
      </w:r>
      <w:proofErr w:type="spellEnd"/>
      <w:r>
        <w:t xml:space="preserve"> &amp; Engle</w:t>
      </w:r>
      <w:r w:rsidR="00644B58">
        <w:rPr>
          <w:rFonts w:hint="eastAsia"/>
        </w:rPr>
        <w:t xml:space="preserve"> </w:t>
      </w:r>
      <w:r>
        <w:t xml:space="preserve">(1994) estimated </w:t>
      </w:r>
      <w:proofErr w:type="gramStart"/>
      <w:r>
        <w:t>MA(</w:t>
      </w:r>
      <w:proofErr w:type="gramEnd"/>
      <w:r>
        <w:t xml:space="preserve">1)-GARCH(1,1) using </w:t>
      </w:r>
      <w:r w:rsidR="000919B2">
        <w:rPr>
          <w:rFonts w:hint="eastAsia"/>
        </w:rPr>
        <w:t xml:space="preserve">the </w:t>
      </w:r>
      <w:r>
        <w:t>one</w:t>
      </w:r>
      <w:r w:rsidR="000919B2">
        <w:rPr>
          <w:rFonts w:hint="eastAsia"/>
        </w:rPr>
        <w:t>-</w:t>
      </w:r>
      <w:r>
        <w:t xml:space="preserve">hour interval data of DJIA and Financial Times 30 Shares from January 1, 1987 to February 29, 1989. They found that there is a strong mean </w:t>
      </w:r>
      <w:r w:rsidR="00644B58">
        <w:t>spillover</w:t>
      </w:r>
      <w:r>
        <w:t xml:space="preserve"> effect and a weak volatility </w:t>
      </w:r>
      <w:r w:rsidR="00644B58">
        <w:t>spillover</w:t>
      </w:r>
      <w:r>
        <w:t xml:space="preserve"> effect.  </w:t>
      </w:r>
    </w:p>
    <w:p w:rsidR="00A44840" w:rsidRDefault="000919B2">
      <w:pPr>
        <w:pStyle w:val="a8"/>
      </w:pPr>
      <w:r>
        <w:rPr>
          <w:rFonts w:hint="eastAsia"/>
        </w:rPr>
        <w:t>U</w:t>
      </w:r>
      <w:r>
        <w:t xml:space="preserve">sing </w:t>
      </w:r>
      <w:proofErr w:type="gramStart"/>
      <w:r w:rsidR="00D35F5E">
        <w:t>GARCH(</w:t>
      </w:r>
      <w:proofErr w:type="gramEnd"/>
      <w:r w:rsidR="00D35F5E">
        <w:t xml:space="preserve">1,1) on </w:t>
      </w:r>
      <w:r>
        <w:rPr>
          <w:rFonts w:hint="eastAsia"/>
        </w:rPr>
        <w:t xml:space="preserve">the </w:t>
      </w:r>
      <w:r w:rsidR="00D35F5E">
        <w:t xml:space="preserve">weekly data till December 1996, </w:t>
      </w:r>
      <w:r>
        <w:t>Ng</w:t>
      </w:r>
      <w:r>
        <w:rPr>
          <w:rFonts w:hint="eastAsia"/>
        </w:rPr>
        <w:t xml:space="preserve"> </w:t>
      </w:r>
      <w:r>
        <w:t xml:space="preserve">(2000) </w:t>
      </w:r>
      <w:r w:rsidR="00D35F5E">
        <w:t>estimated the extent of influence of the world factor</w:t>
      </w:r>
      <w:r>
        <w:rPr>
          <w:rFonts w:hint="eastAsia"/>
        </w:rPr>
        <w:t xml:space="preserve"> </w:t>
      </w:r>
      <w:r w:rsidR="00D35F5E">
        <w:t>(the U.S. stock price) and the local factor</w:t>
      </w:r>
      <w:r>
        <w:rPr>
          <w:rFonts w:hint="eastAsia"/>
        </w:rPr>
        <w:t xml:space="preserve"> </w:t>
      </w:r>
      <w:r w:rsidR="00D35F5E">
        <w:t>(the Japanese stock price)</w:t>
      </w:r>
      <w:r w:rsidR="00727806">
        <w:rPr>
          <w:rFonts w:hint="eastAsia"/>
        </w:rPr>
        <w:t xml:space="preserve"> in</w:t>
      </w:r>
      <w:r w:rsidR="00727806">
        <w:t xml:space="preserve"> </w:t>
      </w:r>
      <w:r w:rsidR="00D35F5E">
        <w:t>Hong</w:t>
      </w:r>
      <w:r>
        <w:rPr>
          <w:rFonts w:hint="eastAsia"/>
        </w:rPr>
        <w:t xml:space="preserve"> </w:t>
      </w:r>
      <w:r w:rsidR="00D35F5E">
        <w:t>Kong, Korea, Malaysia, Singapore, Taiwan</w:t>
      </w:r>
      <w:r w:rsidR="00727806">
        <w:rPr>
          <w:rFonts w:hint="eastAsia"/>
        </w:rPr>
        <w:t xml:space="preserve"> and</w:t>
      </w:r>
      <w:r w:rsidR="00D35F5E">
        <w:t xml:space="preserve"> Thailand. They concluded that they are more influenced by the local factor than by the world factor.  </w:t>
      </w:r>
    </w:p>
    <w:p w:rsidR="00A44840" w:rsidRDefault="00D35F5E">
      <w:pPr>
        <w:pStyle w:val="a8"/>
      </w:pPr>
      <w:r>
        <w:lastRenderedPageBreak/>
        <w:t>Recently</w:t>
      </w:r>
      <w:r w:rsidR="00727806">
        <w:rPr>
          <w:rFonts w:hint="eastAsia"/>
        </w:rPr>
        <w:t>,</w:t>
      </w:r>
      <w:r>
        <w:t xml:space="preserve"> </w:t>
      </w:r>
      <w:proofErr w:type="spellStart"/>
      <w:r>
        <w:t>Pylaktis</w:t>
      </w:r>
      <w:proofErr w:type="spellEnd"/>
      <w:r>
        <w:t xml:space="preserve"> &amp; Xia</w:t>
      </w:r>
      <w:r w:rsidR="000919B2">
        <w:rPr>
          <w:rFonts w:hint="eastAsia"/>
        </w:rPr>
        <w:t xml:space="preserve"> </w:t>
      </w:r>
      <w:r>
        <w:t xml:space="preserve">(2009) </w:t>
      </w:r>
      <w:r w:rsidR="00727806">
        <w:rPr>
          <w:rFonts w:hint="eastAsia"/>
        </w:rPr>
        <w:t>observed the</w:t>
      </w:r>
      <w:r>
        <w:t xml:space="preserve"> weekly data for 10 industry sectors </w:t>
      </w:r>
      <w:r w:rsidR="00727806">
        <w:rPr>
          <w:rFonts w:hint="eastAsia"/>
        </w:rPr>
        <w:t>in</w:t>
      </w:r>
      <w:r w:rsidR="00727806">
        <w:t xml:space="preserve"> </w:t>
      </w:r>
      <w:r>
        <w:t>the U</w:t>
      </w:r>
      <w:r w:rsidR="00727806">
        <w:rPr>
          <w:rFonts w:hint="eastAsia"/>
        </w:rPr>
        <w:t>.</w:t>
      </w:r>
      <w:r>
        <w:t>S</w:t>
      </w:r>
      <w:r w:rsidR="00727806">
        <w:rPr>
          <w:rFonts w:hint="eastAsia"/>
        </w:rPr>
        <w:t>.</w:t>
      </w:r>
      <w:r>
        <w:t xml:space="preserve"> and </w:t>
      </w:r>
      <w:r w:rsidR="00727806">
        <w:rPr>
          <w:rFonts w:hint="eastAsia"/>
        </w:rPr>
        <w:t xml:space="preserve">in </w:t>
      </w:r>
      <w:r>
        <w:t>three</w:t>
      </w:r>
      <w:r w:rsidR="00727806">
        <w:rPr>
          <w:rFonts w:hint="eastAsia"/>
        </w:rPr>
        <w:t xml:space="preserve"> other</w:t>
      </w:r>
      <w:r>
        <w:t xml:space="preserve"> areas</w:t>
      </w:r>
      <w:r w:rsidR="00727806">
        <w:rPr>
          <w:rFonts w:hint="eastAsia"/>
        </w:rPr>
        <w:t xml:space="preserve"> </w:t>
      </w:r>
      <w:r>
        <w:t>(Europe, Asia and 29 countries in Central and South America)</w:t>
      </w:r>
      <w:r w:rsidR="00727806">
        <w:rPr>
          <w:rFonts w:hint="eastAsia"/>
        </w:rPr>
        <w:t xml:space="preserve"> by utilizing the </w:t>
      </w:r>
      <w:r>
        <w:t xml:space="preserve">GARCH model. They assert that the important path that stimulates stock price synchronization is the contagion effect among the 10 sectors.  </w:t>
      </w:r>
    </w:p>
    <w:p w:rsidR="00A44840" w:rsidRPr="004A7047" w:rsidRDefault="00D35F5E">
      <w:pPr>
        <w:pStyle w:val="a8"/>
        <w:rPr>
          <w:color w:val="auto"/>
        </w:rPr>
      </w:pPr>
      <w:r>
        <w:t xml:space="preserve">Park &amp;Yi (2011) have </w:t>
      </w:r>
      <w:r w:rsidR="004A7047" w:rsidRPr="003D65C8">
        <w:rPr>
          <w:rFonts w:hint="eastAsia"/>
          <w:color w:val="auto"/>
        </w:rPr>
        <w:t>found</w:t>
      </w:r>
      <w:r w:rsidRPr="003D65C8">
        <w:rPr>
          <w:color w:val="auto"/>
        </w:rPr>
        <w:t xml:space="preserve"> </w:t>
      </w:r>
      <w:r w:rsidR="004A7047" w:rsidRPr="003D65C8">
        <w:rPr>
          <w:rFonts w:hint="eastAsia"/>
          <w:color w:val="auto"/>
        </w:rPr>
        <w:t>the overreaction of</w:t>
      </w:r>
      <w:r w:rsidRPr="003D65C8">
        <w:rPr>
          <w:color w:val="auto"/>
        </w:rPr>
        <w:t xml:space="preserve"> KOSPI to the </w:t>
      </w:r>
      <w:r w:rsidR="00727806" w:rsidRPr="003D65C8">
        <w:rPr>
          <w:color w:val="auto"/>
        </w:rPr>
        <w:t>overnight</w:t>
      </w:r>
      <w:r w:rsidRPr="003D65C8">
        <w:rPr>
          <w:color w:val="auto"/>
        </w:rPr>
        <w:t xml:space="preserve"> U</w:t>
      </w:r>
      <w:r w:rsidR="00727806" w:rsidRPr="003D65C8">
        <w:rPr>
          <w:rFonts w:hint="eastAsia"/>
          <w:color w:val="auto"/>
        </w:rPr>
        <w:t>.</w:t>
      </w:r>
      <w:r w:rsidRPr="003D65C8">
        <w:rPr>
          <w:color w:val="auto"/>
        </w:rPr>
        <w:t>S</w:t>
      </w:r>
      <w:r w:rsidR="00727806" w:rsidRPr="003D65C8">
        <w:rPr>
          <w:rFonts w:hint="eastAsia"/>
          <w:color w:val="auto"/>
        </w:rPr>
        <w:t>.</w:t>
      </w:r>
      <w:r w:rsidRPr="003D65C8">
        <w:rPr>
          <w:color w:val="auto"/>
        </w:rPr>
        <w:t xml:space="preserve"> stock market shock in the opening and revers</w:t>
      </w:r>
      <w:r w:rsidR="004A7047" w:rsidRPr="003D65C8">
        <w:rPr>
          <w:rFonts w:hint="eastAsia"/>
          <w:color w:val="auto"/>
        </w:rPr>
        <w:t>al</w:t>
      </w:r>
      <w:r w:rsidRPr="003D65C8">
        <w:rPr>
          <w:color w:val="auto"/>
        </w:rPr>
        <w:t xml:space="preserve"> </w:t>
      </w:r>
      <w:r w:rsidR="004A7047" w:rsidRPr="003D65C8">
        <w:rPr>
          <w:rFonts w:hint="eastAsia"/>
          <w:color w:val="auto"/>
        </w:rPr>
        <w:t xml:space="preserve">in </w:t>
      </w:r>
      <w:r w:rsidRPr="003D65C8">
        <w:rPr>
          <w:color w:val="auto"/>
        </w:rPr>
        <w:t>the subsequent day time.</w:t>
      </w:r>
      <w:r w:rsidR="004A7047" w:rsidRPr="003D65C8">
        <w:rPr>
          <w:rFonts w:hint="eastAsia"/>
          <w:color w:val="auto"/>
        </w:rPr>
        <w:t xml:space="preserve"> They interpreted th</w:t>
      </w:r>
      <w:r w:rsidR="00727806" w:rsidRPr="003D65C8">
        <w:rPr>
          <w:rFonts w:hint="eastAsia"/>
          <w:color w:val="auto"/>
        </w:rPr>
        <w:t>is</w:t>
      </w:r>
      <w:r w:rsidR="004A7047" w:rsidRPr="003D65C8">
        <w:rPr>
          <w:rFonts w:hint="eastAsia"/>
          <w:color w:val="auto"/>
        </w:rPr>
        <w:t xml:space="preserve"> result</w:t>
      </w:r>
      <w:r w:rsidR="00727806" w:rsidRPr="004A7047">
        <w:rPr>
          <w:rFonts w:hint="eastAsia"/>
          <w:color w:val="FF0000"/>
        </w:rPr>
        <w:t xml:space="preserve"> </w:t>
      </w:r>
      <w:r w:rsidR="00727806" w:rsidRPr="004A7047">
        <w:rPr>
          <w:rFonts w:hint="eastAsia"/>
          <w:color w:val="auto"/>
        </w:rPr>
        <w:t>as the</w:t>
      </w:r>
      <w:r w:rsidRPr="004A7047">
        <w:rPr>
          <w:color w:val="auto"/>
        </w:rPr>
        <w:t xml:space="preserve"> phenomenon </w:t>
      </w:r>
      <w:r w:rsidR="00847DCB" w:rsidRPr="004A7047">
        <w:rPr>
          <w:rFonts w:hint="eastAsia"/>
          <w:color w:val="auto"/>
        </w:rPr>
        <w:t>resulting from</w:t>
      </w:r>
      <w:r w:rsidRPr="004A7047">
        <w:rPr>
          <w:color w:val="auto"/>
        </w:rPr>
        <w:t xml:space="preserve"> information asymmetry between foreign investors and domestic individual investors</w:t>
      </w:r>
      <w:r w:rsidR="004A7047" w:rsidRPr="004A7047">
        <w:rPr>
          <w:rFonts w:hint="eastAsia"/>
          <w:color w:val="auto"/>
        </w:rPr>
        <w:t>.</w:t>
      </w:r>
    </w:p>
    <w:p w:rsidR="004A7047" w:rsidRDefault="004A7047">
      <w:pPr>
        <w:pStyle w:val="a8"/>
      </w:pPr>
    </w:p>
    <w:p w:rsidR="00A44840" w:rsidRDefault="00D35F5E">
      <w:pPr>
        <w:pStyle w:val="aa"/>
      </w:pPr>
      <w:r>
        <w:t>III. Data and Descriptive Statistics</w:t>
      </w:r>
    </w:p>
    <w:p w:rsidR="00A44840" w:rsidRDefault="00D35F5E">
      <w:pPr>
        <w:pStyle w:val="ab"/>
      </w:pPr>
      <w:r>
        <w:t>1. Trading Hour</w:t>
      </w:r>
    </w:p>
    <w:p w:rsidR="00A44840" w:rsidRDefault="00D35F5E">
      <w:pPr>
        <w:pStyle w:val="a8"/>
      </w:pPr>
      <w:r>
        <w:t>The trading hour</w:t>
      </w:r>
      <w:r w:rsidR="0054541B">
        <w:rPr>
          <w:rFonts w:hint="eastAsia"/>
        </w:rPr>
        <w:t>s</w:t>
      </w:r>
      <w:r>
        <w:t xml:space="preserve"> of</w:t>
      </w:r>
      <w:r w:rsidR="0054541B">
        <w:rPr>
          <w:rFonts w:hint="eastAsia"/>
        </w:rPr>
        <w:t xml:space="preserve"> the</w:t>
      </w:r>
      <w:r>
        <w:t xml:space="preserve"> Korean stock market does not overlap </w:t>
      </w:r>
      <w:r w:rsidR="0054541B">
        <w:rPr>
          <w:rFonts w:hint="eastAsia"/>
        </w:rPr>
        <w:t xml:space="preserve">with </w:t>
      </w:r>
      <w:r>
        <w:t>that of the U</w:t>
      </w:r>
      <w:r w:rsidR="0054541B">
        <w:rPr>
          <w:rFonts w:hint="eastAsia"/>
        </w:rPr>
        <w:t>.</w:t>
      </w:r>
      <w:r>
        <w:t>S</w:t>
      </w:r>
      <w:r w:rsidR="0054541B">
        <w:rPr>
          <w:rFonts w:hint="eastAsia"/>
        </w:rPr>
        <w:t>.</w:t>
      </w:r>
      <w:r>
        <w:t xml:space="preserve"> stock market. NYSE opens at 23:30 on date t-1 and closes </w:t>
      </w:r>
      <w:r w:rsidR="00E87DC3">
        <w:rPr>
          <w:rFonts w:hint="eastAsia"/>
        </w:rPr>
        <w:t>at</w:t>
      </w:r>
      <w:r w:rsidR="00E87DC3">
        <w:t xml:space="preserve"> </w:t>
      </w:r>
      <w:r>
        <w:t xml:space="preserve">6:00 on date t by Korean standard time. </w:t>
      </w:r>
      <w:r w:rsidR="0054541B">
        <w:rPr>
          <w:rFonts w:hint="eastAsia"/>
        </w:rPr>
        <w:t>This n</w:t>
      </w:r>
      <w:r w:rsidR="0054541B">
        <w:t>on</w:t>
      </w:r>
      <w:r>
        <w:t>-overlap of trading hours allows us to consider the U</w:t>
      </w:r>
      <w:r w:rsidR="00E87DC3">
        <w:rPr>
          <w:rFonts w:hint="eastAsia"/>
        </w:rPr>
        <w:t>.</w:t>
      </w:r>
      <w:r>
        <w:t>S</w:t>
      </w:r>
      <w:r w:rsidR="00E87DC3">
        <w:rPr>
          <w:rFonts w:hint="eastAsia"/>
        </w:rPr>
        <w:t>.</w:t>
      </w:r>
      <w:r>
        <w:t xml:space="preserve"> daily stock market return as exogenous to the Korean market. Namely</w:t>
      </w:r>
      <w:r w:rsidR="00E87DC3">
        <w:rPr>
          <w:rFonts w:hint="eastAsia"/>
        </w:rPr>
        <w:t>,</w:t>
      </w:r>
      <w:r>
        <w:t xml:space="preserve"> we can avoid </w:t>
      </w:r>
      <w:r w:rsidR="00E87DC3">
        <w:rPr>
          <w:rFonts w:hint="eastAsia"/>
        </w:rPr>
        <w:t xml:space="preserve">the </w:t>
      </w:r>
      <w:r>
        <w:t>endogenous variable problem as the U</w:t>
      </w:r>
      <w:r w:rsidR="00E87DC3">
        <w:rPr>
          <w:rFonts w:hint="eastAsia"/>
        </w:rPr>
        <w:t>.</w:t>
      </w:r>
      <w:r>
        <w:t>S</w:t>
      </w:r>
      <w:r w:rsidR="00E87DC3">
        <w:rPr>
          <w:rFonts w:hint="eastAsia"/>
        </w:rPr>
        <w:t>.</w:t>
      </w:r>
      <w:r>
        <w:t xml:space="preserve"> market performance on date t-1 is supposed to have </w:t>
      </w:r>
      <w:r w:rsidR="00E87DC3">
        <w:rPr>
          <w:rFonts w:hint="eastAsia"/>
        </w:rPr>
        <w:t xml:space="preserve">a </w:t>
      </w:r>
      <w:r>
        <w:t xml:space="preserve">clear exogenous impact </w:t>
      </w:r>
      <w:r w:rsidR="001E663E">
        <w:rPr>
          <w:rFonts w:hint="eastAsia"/>
        </w:rPr>
        <w:t>in</w:t>
      </w:r>
      <w:r w:rsidR="001E663E">
        <w:t xml:space="preserve"> </w:t>
      </w:r>
      <w:r>
        <w:t>the Korean market on date t.</w:t>
      </w:r>
      <w:bookmarkStart w:id="0" w:name="f_160674548"/>
      <w:r>
        <w:rPr>
          <w:vertAlign w:val="superscript"/>
        </w:rPr>
        <w:footnoteReference w:id="1"/>
      </w:r>
      <w:bookmarkEnd w:id="0"/>
      <w:r>
        <w:t xml:space="preserve">  </w:t>
      </w:r>
    </w:p>
    <w:p w:rsidR="00A44840" w:rsidRDefault="00D35F5E">
      <w:pPr>
        <w:pStyle w:val="a8"/>
      </w:pPr>
      <w:r>
        <w:t>KRX begins to accept investors</w:t>
      </w:r>
      <w:r>
        <w:t>’</w:t>
      </w:r>
      <w:r>
        <w:t xml:space="preserve"> buy and sell orders of cash and the futures market from 8:00 in the morning and announces the day</w:t>
      </w:r>
      <w:r>
        <w:t>’</w:t>
      </w:r>
      <w:r>
        <w:t xml:space="preserve">s single starting price at 9:00, which is determined by </w:t>
      </w:r>
      <w:r w:rsidR="00E87DC3">
        <w:rPr>
          <w:rFonts w:hint="eastAsia"/>
        </w:rPr>
        <w:t xml:space="preserve">the </w:t>
      </w:r>
      <w:r>
        <w:t xml:space="preserve">competitive single price matching system. The cash market continues </w:t>
      </w:r>
      <w:proofErr w:type="gramStart"/>
      <w:r>
        <w:t>its</w:t>
      </w:r>
      <w:proofErr w:type="gramEnd"/>
      <w:r>
        <w:t xml:space="preserve"> trading for the rest of the day and stops its trading </w:t>
      </w:r>
      <w:r w:rsidR="00E87DC3">
        <w:rPr>
          <w:rFonts w:hint="eastAsia"/>
        </w:rPr>
        <w:t>at</w:t>
      </w:r>
      <w:r w:rsidR="00E87DC3">
        <w:t xml:space="preserve"> </w:t>
      </w:r>
      <w:r>
        <w:t xml:space="preserve">14:50, </w:t>
      </w:r>
      <w:r w:rsidR="00E87DC3">
        <w:rPr>
          <w:rFonts w:hint="eastAsia"/>
        </w:rPr>
        <w:t>whereas</w:t>
      </w:r>
      <w:r w:rsidR="00E87DC3">
        <w:t xml:space="preserve"> </w:t>
      </w:r>
      <w:r>
        <w:t xml:space="preserve">the futures market continues its trading for the rest of the day and stops its trading </w:t>
      </w:r>
      <w:r w:rsidR="00E87DC3">
        <w:rPr>
          <w:rFonts w:hint="eastAsia"/>
        </w:rPr>
        <w:t>at</w:t>
      </w:r>
      <w:r w:rsidR="00E87DC3">
        <w:t xml:space="preserve"> </w:t>
      </w:r>
      <w:r>
        <w:t>15:05. The cash market</w:t>
      </w:r>
      <w:r>
        <w:t>’</w:t>
      </w:r>
      <w:r>
        <w:t xml:space="preserve">s closing price is </w:t>
      </w:r>
      <w:r w:rsidR="00E87DC3">
        <w:rPr>
          <w:rFonts w:hint="eastAsia"/>
        </w:rPr>
        <w:t xml:space="preserve">a </w:t>
      </w:r>
      <w:r>
        <w:t xml:space="preserve">competitive single price determined </w:t>
      </w:r>
      <w:r w:rsidR="00E87DC3">
        <w:rPr>
          <w:rFonts w:hint="eastAsia"/>
        </w:rPr>
        <w:t xml:space="preserve">at </w:t>
      </w:r>
      <w:r>
        <w:t>15:00 while the futures market</w:t>
      </w:r>
      <w:r>
        <w:t>’</w:t>
      </w:r>
      <w:r>
        <w:t xml:space="preserve">s closing price is also a competitive single price determined </w:t>
      </w:r>
      <w:r w:rsidR="00E87DC3">
        <w:rPr>
          <w:rFonts w:hint="eastAsia"/>
        </w:rPr>
        <w:t>at</w:t>
      </w:r>
      <w:r w:rsidR="00E87DC3">
        <w:t xml:space="preserve"> </w:t>
      </w:r>
      <w:r>
        <w:t>15:15.</w:t>
      </w:r>
    </w:p>
    <w:p w:rsidR="00A44840" w:rsidRDefault="00D35F5E">
      <w:pPr>
        <w:pStyle w:val="a8"/>
      </w:pPr>
      <w:r>
        <w:t>If the Korean stock index and futures markets are efficient with respect to the U</w:t>
      </w:r>
      <w:r w:rsidR="001E663E">
        <w:rPr>
          <w:rFonts w:hint="eastAsia"/>
        </w:rPr>
        <w:t>.</w:t>
      </w:r>
      <w:r>
        <w:t>S</w:t>
      </w:r>
      <w:r w:rsidR="001E663E">
        <w:rPr>
          <w:rFonts w:hint="eastAsia"/>
        </w:rPr>
        <w:t>.</w:t>
      </w:r>
      <w:r>
        <w:t xml:space="preserve"> stock market, the U</w:t>
      </w:r>
      <w:r w:rsidR="001E663E">
        <w:rPr>
          <w:rFonts w:hint="eastAsia"/>
        </w:rPr>
        <w:t>.</w:t>
      </w:r>
      <w:r>
        <w:t>S</w:t>
      </w:r>
      <w:r w:rsidR="001E663E">
        <w:rPr>
          <w:rFonts w:hint="eastAsia"/>
        </w:rPr>
        <w:t>.</w:t>
      </w:r>
      <w:r>
        <w:t xml:space="preserve"> market news on date t-1 should be fully reflected </w:t>
      </w:r>
      <w:r w:rsidR="001E663E">
        <w:rPr>
          <w:rFonts w:hint="eastAsia"/>
        </w:rPr>
        <w:t>in</w:t>
      </w:r>
      <w:r w:rsidR="001E663E">
        <w:t xml:space="preserve"> </w:t>
      </w:r>
      <w:r>
        <w:t xml:space="preserve">the Korean cash and futures market opening price on date t. If the Korean market is inefficient and shows </w:t>
      </w:r>
      <w:r w:rsidR="001E663E">
        <w:rPr>
          <w:rFonts w:hint="eastAsia"/>
        </w:rPr>
        <w:t xml:space="preserve">a </w:t>
      </w:r>
      <w:r>
        <w:t>delayed response to U</w:t>
      </w:r>
      <w:r w:rsidR="001E663E">
        <w:rPr>
          <w:rFonts w:hint="eastAsia"/>
        </w:rPr>
        <w:t>.</w:t>
      </w:r>
      <w:r>
        <w:t>S</w:t>
      </w:r>
      <w:r w:rsidR="001E663E">
        <w:rPr>
          <w:rFonts w:hint="eastAsia"/>
        </w:rPr>
        <w:t>.</w:t>
      </w:r>
      <w:r>
        <w:t xml:space="preserve"> market news, then only a part of the U</w:t>
      </w:r>
      <w:r w:rsidR="001E663E">
        <w:rPr>
          <w:rFonts w:hint="eastAsia"/>
        </w:rPr>
        <w:t>.</w:t>
      </w:r>
      <w:r>
        <w:t>S</w:t>
      </w:r>
      <w:r w:rsidR="001E663E">
        <w:rPr>
          <w:rFonts w:hint="eastAsia"/>
        </w:rPr>
        <w:t>.</w:t>
      </w:r>
      <w:r>
        <w:t xml:space="preserve"> stock market change will be reflected </w:t>
      </w:r>
      <w:r w:rsidR="001E663E">
        <w:rPr>
          <w:rFonts w:hint="eastAsia"/>
        </w:rPr>
        <w:t>in</w:t>
      </w:r>
      <w:r w:rsidR="001E663E">
        <w:t xml:space="preserve"> </w:t>
      </w:r>
      <w:r>
        <w:t xml:space="preserve">the opening price and the </w:t>
      </w:r>
      <w:r w:rsidR="001E663E">
        <w:rPr>
          <w:rFonts w:hint="eastAsia"/>
        </w:rPr>
        <w:t>remaining</w:t>
      </w:r>
      <w:r w:rsidR="001E663E">
        <w:t xml:space="preserve"> </w:t>
      </w:r>
      <w:r>
        <w:t xml:space="preserve">should be reflected </w:t>
      </w:r>
      <w:r w:rsidR="001E663E">
        <w:rPr>
          <w:rFonts w:hint="eastAsia"/>
        </w:rPr>
        <w:t>in</w:t>
      </w:r>
      <w:r w:rsidR="001E663E">
        <w:t xml:space="preserve"> </w:t>
      </w:r>
      <w:r>
        <w:t>the prices after 9:00. On the contrary</w:t>
      </w:r>
      <w:r w:rsidR="001E663E">
        <w:rPr>
          <w:rFonts w:hint="eastAsia"/>
        </w:rPr>
        <w:t>,</w:t>
      </w:r>
      <w:r>
        <w:t xml:space="preserve"> if the Korean market overreacts to the U</w:t>
      </w:r>
      <w:r w:rsidR="001E663E">
        <w:rPr>
          <w:rFonts w:hint="eastAsia"/>
        </w:rPr>
        <w:t>.</w:t>
      </w:r>
      <w:r>
        <w:t>S</w:t>
      </w:r>
      <w:r w:rsidR="001E663E">
        <w:rPr>
          <w:rFonts w:hint="eastAsia"/>
        </w:rPr>
        <w:t>.</w:t>
      </w:r>
      <w:r>
        <w:t xml:space="preserve"> stock market, then the </w:t>
      </w:r>
      <w:r w:rsidR="009D40C0">
        <w:rPr>
          <w:rFonts w:hint="eastAsia"/>
        </w:rPr>
        <w:t xml:space="preserve">news of change in the </w:t>
      </w:r>
      <w:r>
        <w:t>U</w:t>
      </w:r>
      <w:r w:rsidR="001E663E">
        <w:rPr>
          <w:rFonts w:hint="eastAsia"/>
        </w:rPr>
        <w:t>.</w:t>
      </w:r>
      <w:r>
        <w:t>S</w:t>
      </w:r>
      <w:r w:rsidR="001E663E">
        <w:rPr>
          <w:rFonts w:hint="eastAsia"/>
        </w:rPr>
        <w:t>.</w:t>
      </w:r>
      <w:r>
        <w:t xml:space="preserve"> market would be reflected </w:t>
      </w:r>
      <w:r w:rsidR="009D40C0">
        <w:rPr>
          <w:rFonts w:hint="eastAsia"/>
        </w:rPr>
        <w:t>in</w:t>
      </w:r>
      <w:r w:rsidR="009D40C0">
        <w:t xml:space="preserve"> </w:t>
      </w:r>
      <w:r>
        <w:t xml:space="preserve">the opening price on an over-shooting scale, and </w:t>
      </w:r>
      <w:r>
        <w:lastRenderedPageBreak/>
        <w:t>the price after 9:00 would show</w:t>
      </w:r>
      <w:r w:rsidR="009D40C0">
        <w:rPr>
          <w:rFonts w:hint="eastAsia"/>
        </w:rPr>
        <w:t xml:space="preserve"> a</w:t>
      </w:r>
      <w:r>
        <w:t xml:space="preserve"> reversing response to correct the preceding overreaction.  </w:t>
      </w:r>
    </w:p>
    <w:p w:rsidR="00A44840" w:rsidRPr="009D40C0" w:rsidRDefault="00A44840">
      <w:pPr>
        <w:pStyle w:val="ab"/>
      </w:pPr>
    </w:p>
    <w:p w:rsidR="00A44840" w:rsidRDefault="00D35F5E">
      <w:pPr>
        <w:pStyle w:val="ab"/>
      </w:pPr>
      <w:r>
        <w:t>2. Data</w:t>
      </w:r>
    </w:p>
    <w:p w:rsidR="00A44840" w:rsidRDefault="00D35F5E">
      <w:pPr>
        <w:pStyle w:val="a8"/>
      </w:pPr>
      <w:r>
        <w:t>The data used in this study are S&amp;P</w:t>
      </w:r>
      <w:r w:rsidR="004737B0">
        <w:rPr>
          <w:rFonts w:hint="eastAsia"/>
        </w:rPr>
        <w:t xml:space="preserve"> </w:t>
      </w:r>
      <w:r>
        <w:t>500 daily closing prices and one</w:t>
      </w:r>
      <w:r w:rsidR="00897627">
        <w:rPr>
          <w:rFonts w:hint="eastAsia"/>
        </w:rPr>
        <w:t>-</w:t>
      </w:r>
      <w:r>
        <w:t xml:space="preserve">minute interval KOSPI 200 cash and futures prices </w:t>
      </w:r>
      <w:r w:rsidR="00897627">
        <w:rPr>
          <w:rFonts w:hint="eastAsia"/>
        </w:rPr>
        <w:t xml:space="preserve">from </w:t>
      </w:r>
      <w:r>
        <w:t>January 2, 2001 to August 31, 2012 (</w:t>
      </w:r>
      <w:r w:rsidR="00067D54">
        <w:rPr>
          <w:rFonts w:hint="eastAsia"/>
        </w:rPr>
        <w:t xml:space="preserve">a </w:t>
      </w:r>
      <w:r>
        <w:t>total</w:t>
      </w:r>
      <w:r w:rsidR="00067D54">
        <w:rPr>
          <w:rFonts w:hint="eastAsia"/>
        </w:rPr>
        <w:t xml:space="preserve"> of</w:t>
      </w:r>
      <w:r>
        <w:t xml:space="preserve"> 2,891 trading days) supplied by KRX</w:t>
      </w:r>
      <w:r w:rsidR="00067D54">
        <w:rPr>
          <w:rFonts w:hint="eastAsia"/>
        </w:rPr>
        <w:t xml:space="preserve"> </w:t>
      </w:r>
      <w:r>
        <w:t>(</w:t>
      </w:r>
      <w:hyperlink r:id="rId9" w:history="1">
        <w:r>
          <w:t>www.krx.co.kr</w:t>
        </w:r>
      </w:hyperlink>
      <w:r>
        <w:t>). The KOSPI 200 futures data are the nearest maturity prices</w:t>
      </w:r>
      <w:r w:rsidR="00067D54">
        <w:rPr>
          <w:rFonts w:hint="eastAsia"/>
        </w:rPr>
        <w:t xml:space="preserve"> </w:t>
      </w:r>
      <w:r>
        <w:t xml:space="preserve">(March, June, September, </w:t>
      </w:r>
      <w:proofErr w:type="gramStart"/>
      <w:r>
        <w:t>December</w:t>
      </w:r>
      <w:proofErr w:type="gramEnd"/>
      <w:r>
        <w:t>). However</w:t>
      </w:r>
      <w:r w:rsidR="00897627">
        <w:rPr>
          <w:rFonts w:hint="eastAsia"/>
        </w:rPr>
        <w:t>,</w:t>
      </w:r>
      <w:r>
        <w:t xml:space="preserve"> the futures prices for the period from the first trading day to the last trading day</w:t>
      </w:r>
      <w:r w:rsidR="00067D54">
        <w:rPr>
          <w:rFonts w:hint="eastAsia"/>
        </w:rPr>
        <w:t xml:space="preserve"> </w:t>
      </w:r>
      <w:r>
        <w:t xml:space="preserve">(second </w:t>
      </w:r>
      <w:r w:rsidR="00067D54">
        <w:rPr>
          <w:rFonts w:hint="eastAsia"/>
        </w:rPr>
        <w:t>T</w:t>
      </w:r>
      <w:r w:rsidR="00067D54">
        <w:t>hursday</w:t>
      </w:r>
      <w:r>
        <w:t>) of the delivery months</w:t>
      </w:r>
      <w:r w:rsidR="00067D54">
        <w:rPr>
          <w:rFonts w:hint="eastAsia"/>
        </w:rPr>
        <w:t xml:space="preserve"> </w:t>
      </w:r>
      <w:r>
        <w:t>(March, July, September, December)</w:t>
      </w:r>
      <w:r w:rsidR="00067D54">
        <w:rPr>
          <w:rFonts w:hint="eastAsia"/>
        </w:rPr>
        <w:t xml:space="preserve"> </w:t>
      </w:r>
      <w:r>
        <w:t>are replaced by the next delivery month</w:t>
      </w:r>
      <w:r>
        <w:t>’</w:t>
      </w:r>
      <w:r>
        <w:t>s futures prices. This is to avoid the impact of the abnormal price changes that may appear on the futures prices near the maturity dates of the delivery month.</w:t>
      </w:r>
      <w:bookmarkStart w:id="1" w:name="f_1110614680"/>
      <w:r>
        <w:rPr>
          <w:rStyle w:val="a6"/>
        </w:rPr>
        <w:footnoteReference w:id="2"/>
      </w:r>
      <w:bookmarkEnd w:id="1"/>
      <w:r>
        <w:t xml:space="preserve"> </w:t>
      </w:r>
    </w:p>
    <w:p w:rsidR="00A44840" w:rsidRDefault="00D35F5E">
      <w:pPr>
        <w:pStyle w:val="a8"/>
      </w:pPr>
      <w:r>
        <w:t>Generally</w:t>
      </w:r>
      <w:r w:rsidR="00F22BB4">
        <w:rPr>
          <w:rFonts w:hint="eastAsia"/>
        </w:rPr>
        <w:t>, the</w:t>
      </w:r>
      <w:r>
        <w:t xml:space="preserve"> Korean market on date t is influenced by S&amp;P</w:t>
      </w:r>
      <w:r w:rsidR="004737B0">
        <w:rPr>
          <w:rFonts w:hint="eastAsia"/>
        </w:rPr>
        <w:t xml:space="preserve"> </w:t>
      </w:r>
      <w:r>
        <w:t xml:space="preserve">500 on date t-1. However, if NYSE closes on date t-1 by some reason (weekends) or other, we treat the nearest date to t-1 as date t-1. </w:t>
      </w:r>
    </w:p>
    <w:p w:rsidR="00A44840" w:rsidRDefault="00D35F5E">
      <w:pPr>
        <w:pStyle w:val="a8"/>
      </w:pPr>
      <w:r>
        <w:t>&lt;Figure 1&gt;</w:t>
      </w:r>
      <w:r w:rsidR="004737B0">
        <w:rPr>
          <w:rFonts w:hint="eastAsia"/>
        </w:rPr>
        <w:t xml:space="preserve"> illustrates</w:t>
      </w:r>
      <w:r w:rsidR="004737B0">
        <w:t xml:space="preserve"> </w:t>
      </w:r>
      <w:r>
        <w:t>the pattern of KOSPI 200 and S&amp;P</w:t>
      </w:r>
      <w:r w:rsidR="004737B0">
        <w:rPr>
          <w:rFonts w:hint="eastAsia"/>
        </w:rPr>
        <w:t xml:space="preserve"> </w:t>
      </w:r>
      <w:r>
        <w:t xml:space="preserve">500 from January 2, 2001 to August 31, 2012. This period is characterized as a period when the world financial market experienced many </w:t>
      </w:r>
      <w:r w:rsidR="004737B0">
        <w:rPr>
          <w:rFonts w:hint="eastAsia"/>
        </w:rPr>
        <w:t>types</w:t>
      </w:r>
      <w:r w:rsidR="004737B0">
        <w:t xml:space="preserve"> </w:t>
      </w:r>
      <w:r>
        <w:t>of crises</w:t>
      </w:r>
      <w:r w:rsidR="004737B0">
        <w:rPr>
          <w:rFonts w:hint="eastAsia"/>
        </w:rPr>
        <w:t>, such as the</w:t>
      </w:r>
      <w:r>
        <w:t xml:space="preserve"> IT bubble burst after 2001, worldwide real estate bubble after 2003, subprime crisis in 2007 and </w:t>
      </w:r>
      <w:r w:rsidR="004737B0">
        <w:rPr>
          <w:rFonts w:hint="eastAsia"/>
        </w:rPr>
        <w:t xml:space="preserve">the </w:t>
      </w:r>
      <w:r>
        <w:t>European financial crisis in 2010. During this period, KOSPI 200 increased from 65.41 on January 2, 2001 to 250.56 on August 31, 2012</w:t>
      </w:r>
      <w:r w:rsidR="004737B0">
        <w:rPr>
          <w:rFonts w:hint="eastAsia"/>
        </w:rPr>
        <w:t>,</w:t>
      </w:r>
      <w:r>
        <w:t xml:space="preserve"> denoting </w:t>
      </w:r>
      <w:r w:rsidR="00CD41AD">
        <w:rPr>
          <w:rFonts w:hint="eastAsia"/>
        </w:rPr>
        <w:t>a</w:t>
      </w:r>
      <w:r w:rsidR="004737B0">
        <w:rPr>
          <w:rFonts w:hint="eastAsia"/>
        </w:rPr>
        <w:t xml:space="preserve"> </w:t>
      </w:r>
      <w:r>
        <w:t>yearly average return of 11.51%. In contrast</w:t>
      </w:r>
      <w:r w:rsidR="004737B0">
        <w:rPr>
          <w:rFonts w:hint="eastAsia"/>
        </w:rPr>
        <w:t>, the</w:t>
      </w:r>
      <w:r>
        <w:t xml:space="preserve"> S&amp;P</w:t>
      </w:r>
      <w:r w:rsidR="004737B0">
        <w:rPr>
          <w:rFonts w:hint="eastAsia"/>
        </w:rPr>
        <w:t xml:space="preserve"> </w:t>
      </w:r>
      <w:r>
        <w:t>500 increased from 1,320.28 on January 2, 2001 to 1339.48 on August 31, 2012</w:t>
      </w:r>
      <w:r w:rsidR="00CD41AD">
        <w:rPr>
          <w:rFonts w:hint="eastAsia"/>
        </w:rPr>
        <w:t>,</w:t>
      </w:r>
      <w:r>
        <w:t xml:space="preserve"> denoting </w:t>
      </w:r>
      <w:r w:rsidR="00CD41AD">
        <w:rPr>
          <w:rFonts w:hint="eastAsia"/>
        </w:rPr>
        <w:t xml:space="preserve">a </w:t>
      </w:r>
      <w:r>
        <w:t>yearly average return of 0.50%.  Short term price changing pattern in &lt;Figure 1&gt; shows clear co-movements between the Korean and the U</w:t>
      </w:r>
      <w:r w:rsidR="00455374">
        <w:rPr>
          <w:rFonts w:hint="eastAsia"/>
        </w:rPr>
        <w:t>.</w:t>
      </w:r>
      <w:r>
        <w:t>S</w:t>
      </w:r>
      <w:r w:rsidR="00455374">
        <w:rPr>
          <w:rFonts w:hint="eastAsia"/>
        </w:rPr>
        <w:t>.</w:t>
      </w:r>
      <w:r>
        <w:t xml:space="preserve"> stock markets. </w:t>
      </w:r>
      <w:r w:rsidR="00455374">
        <w:t>Moreover</w:t>
      </w:r>
      <w:r w:rsidR="00455374">
        <w:rPr>
          <w:rFonts w:hint="eastAsia"/>
        </w:rPr>
        <w:t xml:space="preserve">, </w:t>
      </w:r>
      <w:r>
        <w:t>the two markets</w:t>
      </w:r>
      <w:r>
        <w:t>’</w:t>
      </w:r>
      <w:r>
        <w:t xml:space="preserve"> transition points from the long-term bull market to the bear market correspond to each other. </w:t>
      </w:r>
      <w:r w:rsidR="00455374">
        <w:t>Particularly</w:t>
      </w:r>
      <w:r>
        <w:t xml:space="preserve"> after August 2007</w:t>
      </w:r>
      <w:r w:rsidR="00455374">
        <w:rPr>
          <w:rFonts w:hint="eastAsia"/>
        </w:rPr>
        <w:t>,</w:t>
      </w:r>
      <w:r>
        <w:t xml:space="preserve"> when the subprime crisis occurred, the patterns of the two markets are almost undistinguishable. </w:t>
      </w:r>
    </w:p>
    <w:p w:rsidR="00A44840" w:rsidRDefault="00D35F5E">
      <w:pPr>
        <w:pStyle w:val="ae"/>
        <w:wordWrap/>
        <w:ind w:left="0" w:firstLine="0"/>
        <w:jc w:val="center"/>
      </w:pPr>
      <w:r>
        <w:rPr>
          <w:noProof/>
        </w:rPr>
        <w:lastRenderedPageBreak/>
        <w:drawing>
          <wp:inline distT="0" distB="0" distL="0" distR="0">
            <wp:extent cx="5002403" cy="3091561"/>
            <wp:effectExtent l="0" t="0" r="0" b="0"/>
            <wp:docPr id="1" name="picture 1" descr="그림입니다. 원본 그림의 이름: CLP000016a41ead.bmp 원본 그림의 크기: 가로 836pixel, 세로 517pixel"/>
            <wp:cNvGraphicFramePr/>
            <a:graphic xmlns:a="http://schemas.openxmlformats.org/drawingml/2006/main">
              <a:graphicData uri="http://schemas.openxmlformats.org/drawingml/2006/picture">
                <pic:pic xmlns:pic="http://schemas.openxmlformats.org/drawingml/2006/picture">
                  <pic:nvPicPr>
                    <pic:cNvPr id="0" name="pic"/>
                    <pic:cNvPicPr/>
                  </pic:nvPicPr>
                  <pic:blipFill>
                    <a:blip r:embed="rId10" cstate="print">
                      <a:lum/>
                    </a:blip>
                    <a:srcRect/>
                    <a:stretch>
                      <a:fillRect/>
                    </a:stretch>
                  </pic:blipFill>
                  <pic:spPr>
                    <a:xfrm>
                      <a:off x="0" y="0"/>
                      <a:ext cx="5002403" cy="3091561"/>
                    </a:xfrm>
                    <a:prstGeom prst="rect">
                      <a:avLst/>
                    </a:prstGeom>
                  </pic:spPr>
                </pic:pic>
              </a:graphicData>
            </a:graphic>
          </wp:inline>
        </w:drawing>
      </w:r>
      <w:r w:rsidR="004E4790">
        <w:rPr>
          <w:noProof/>
        </w:rPr>
      </w:r>
      <w:r w:rsidR="003D65C8">
        <w:rPr>
          <w:noProof/>
        </w:rPr>
        <w:pict>
          <v:rect id="_x0000_s1082929463" o:spid="_x0000_s1040" alt="설명: 그림입니다. 원본 그림의 이름: CLP000016a41ead.bmp 원본 그림의 크기: 가로 836pixel, 세로 517pixel"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3fbJgMAACYGAAAOAAAAZHJzL2Uyb0RvYy54bWysVM1rFDEUvwv+DyFnZ+ejsx8zdCp1tyNC&#10;1UL1LNmZzE5wJhmStLNVBAUFwYtHQSsI4smDoGAP/kXd+j/4kv1ot15EzSG8vLz83tcvb/P6tK7Q&#10;IZWKCZ5gv+NhRHkmcsYnCb5/L3UGGClNeE4qwWmCj6jC17euXtlsm5gGohRVTiUCEK7itklwqXUT&#10;u67KSloT1REN5XBZCFkTDUc5cXNJWkCvKzfwvJ7bCpk3UmRUKdCO5pd4y+IXBc303aJQVKMqwRCb&#10;tru0+9js7tYmiSeSNCXLFmGQv4iiJoyD0xXUiGiCDiT7DapmmRRKFLqTidoVRcEyanOAbHzvUjb7&#10;JWmozQWKo5pVmdT/g83uHO5JxPIEBwFGnNTQowdTD9YD5XuDIAqisLeBUU5VBmU7/X4y+/Tj7P2L&#10;2auXs1cfO+js7evZ1xO00B+/QWfH32afnsdouLtnUPweCX1K8s64bn43/vns8+nJlxidfnk6+/AO&#10;DTZ6DZvS6ho6e35iFF2/bxWmTW2jYoh2v9mTptCq2RXZQ4W4GJaET+i2lKItwRMUxzf27toDc1Dw&#10;FI3b2yKHJMmBFrZj00LWBhB6gaaWGEcrYtCpRhkogzDY6EddjDK4C/yo71vmuCRevm6k0jepqJER&#10;EiyBeBadHO4qbaIh8dLEOOMiZVVlyVfxNQUYzjXgG56aOxOF5dLjyIt2BjuD0AmD3o4TeqORs50O&#10;Q6eX+v3uaGM0HI78J8avH8Yly3PKjZslr/3wz3iz+GFzRq6YrUTFcgNnQlJyMh5WEh0S+FepXbbm&#10;cHNu5q6HYYsAuVxKyQ9C70YQOWlv0HfCNOw6Ud8bOJ4f3Yh6XhiFo3Q9pV3G6b+nhNoER92ga7t0&#10;IehLuRkOe8tmr5nVTMPkqlid4MHKiMSGgjs8t63VhFVz+UIpTPjnpYB2LxttCWs4Oue6no6ngGKI&#10;Oxb5EVBXCmAWDDEYtyCUQj7CqIXRlWAOsxWj6hYH8psptxTkUhgvBcIzeJhgjdFcHOr5NDxoJJuU&#10;gOvPK9JswwdJmeXueQyLbwXDyKawGJxm2l08W6vz8b71CwAA//8DAFBLAwQUAAYACAAAACEALwbj&#10;AdYAAAAFAQAADwAAAGRycy9kb3ducmV2LnhtbEyPzWrDMBCE74W8g9hCb43UHEpwLYdSCKSllzh9&#10;AMVa/1Bp10hK7Lx9lFJoL8sOs8x+U25m78QZQxyYNDwtFQikhu1AnYavw/ZxDSImQ9Y4JtRwwQib&#10;anFXmsLyRHs816kTOYRiYTT0KY2FlLHp0Zu45BEpey0Hb1KWoZM2mCmHeydXSj1LbwbKH3oz4luP&#10;zXd98hrkod5O69oFxR+r9tO97/YtstYP9/PrC4iEc/o7hht+RocqMx35RDYKpyEXST/z5imV5fF3&#10;kVUp/9NXVwAAAP//AwBQSwECLQAUAAYACAAAACEAtoM4kv4AAADhAQAAEwAAAAAAAAAAAAAAAAAA&#10;AAAAW0NvbnRlbnRfVHlwZXNdLnhtbFBLAQItABQABgAIAAAAIQA4/SH/1gAAAJQBAAALAAAAAAAA&#10;AAAAAAAAAC8BAABfcmVscy8ucmVsc1BLAQItABQABgAIAAAAIQAV03fbJgMAACYGAAAOAAAAAAAA&#10;AAAAAAAAAC4CAABkcnMvZTJvRG9jLnhtbFBLAQItABQABgAIAAAAIQAvBuMB1gAAAAUBAAAPAAAA&#10;AAAAAAAAAAAAAIAFAABkcnMvZG93bnJldi54bWxQSwUGAAAAAAQABADzAAAAgwYAAAAA&#10;" filled="f" stroked="f">
            <v:textbox style="mso-fit-shape-to-text:t" inset="0,0,0,0">
              <w:txbxContent>
                <w:p w:rsidR="006B03CF" w:rsidRDefault="006B03CF">
                  <w:pPr>
                    <w:pStyle w:val="af1"/>
                  </w:pPr>
                  <w:r>
                    <w:t xml:space="preserve">&lt;Figure </w:t>
                  </w:r>
                  <w:r>
                    <w:fldChar w:fldCharType="begin"/>
                  </w:r>
                  <w:r>
                    <w:instrText>SEQ 그림\* ARABIC\r 1</w:instrText>
                  </w:r>
                  <w:r>
                    <w:fldChar w:fldCharType="separate"/>
                  </w:r>
                  <w:r>
                    <w:rPr>
                      <w:noProof/>
                    </w:rPr>
                    <w:t>1</w:t>
                  </w:r>
                  <w:r>
                    <w:rPr>
                      <w:noProof/>
                    </w:rPr>
                    <w:fldChar w:fldCharType="end"/>
                  </w:r>
                  <w:r>
                    <w:t>&gt; KOSPI</w:t>
                  </w:r>
                  <w:r>
                    <w:rPr>
                      <w:rFonts w:hint="eastAsia"/>
                    </w:rPr>
                    <w:t xml:space="preserve"> </w:t>
                  </w:r>
                  <w:r>
                    <w:t>200 and S&amp;P</w:t>
                  </w:r>
                  <w:r>
                    <w:rPr>
                      <w:rFonts w:hint="eastAsia"/>
                    </w:rPr>
                    <w:t xml:space="preserve"> </w:t>
                  </w:r>
                  <w:r>
                    <w:t>500</w:t>
                  </w:r>
                </w:p>
              </w:txbxContent>
            </v:textbox>
            <w10:wrap type="none"/>
            <w10:anchorlock/>
          </v:rect>
        </w:pict>
      </w:r>
    </w:p>
    <w:p w:rsidR="00A44840" w:rsidRDefault="00D35F5E">
      <w:pPr>
        <w:pStyle w:val="a8"/>
      </w:pPr>
      <w:r>
        <w:t xml:space="preserve">We gathered the trading volume data from two sources. </w:t>
      </w:r>
      <w:r w:rsidR="009B4DDA">
        <w:rPr>
          <w:rFonts w:hint="eastAsia"/>
        </w:rPr>
        <w:t>The f</w:t>
      </w:r>
      <w:r w:rsidR="009B4DDA">
        <w:t xml:space="preserve">irst </w:t>
      </w:r>
      <w:r>
        <w:t xml:space="preserve">source is </w:t>
      </w:r>
      <w:r w:rsidR="009B4DDA">
        <w:rPr>
          <w:rFonts w:hint="eastAsia"/>
        </w:rPr>
        <w:t xml:space="preserve">the </w:t>
      </w:r>
      <w:r>
        <w:t xml:space="preserve">aggregate daily trading volume and </w:t>
      </w:r>
      <w:r w:rsidR="009B4DDA">
        <w:rPr>
          <w:rFonts w:hint="eastAsia"/>
        </w:rPr>
        <w:t xml:space="preserve">the </w:t>
      </w:r>
      <w:r>
        <w:t>net purchasing volume for each of the three investor groups.</w:t>
      </w:r>
      <w:bookmarkStart w:id="2" w:name="f_6357108"/>
      <w:r>
        <w:rPr>
          <w:vertAlign w:val="superscript"/>
        </w:rPr>
        <w:footnoteReference w:id="3"/>
      </w:r>
      <w:bookmarkEnd w:id="2"/>
      <w:r>
        <w:t xml:space="preserve"> The three investor groups </w:t>
      </w:r>
      <w:r w:rsidR="009B4DDA">
        <w:rPr>
          <w:rFonts w:hint="eastAsia"/>
        </w:rPr>
        <w:t>include</w:t>
      </w:r>
      <w:r w:rsidR="009B4DDA">
        <w:t xml:space="preserve"> </w:t>
      </w:r>
      <w:r>
        <w:t>individual investors, institutional domestic investors</w:t>
      </w:r>
      <w:r w:rsidR="009B4DDA">
        <w:rPr>
          <w:rFonts w:hint="eastAsia"/>
        </w:rPr>
        <w:t xml:space="preserve"> and</w:t>
      </w:r>
      <w:r>
        <w:t xml:space="preserve"> foreign institutional investors. </w:t>
      </w:r>
      <w:r w:rsidR="009B4DDA">
        <w:rPr>
          <w:rFonts w:hint="eastAsia"/>
        </w:rPr>
        <w:t>The</w:t>
      </w:r>
      <w:r>
        <w:t xml:space="preserve"> </w:t>
      </w:r>
      <w:r w:rsidR="009B4DDA">
        <w:rPr>
          <w:rFonts w:hint="eastAsia"/>
        </w:rPr>
        <w:t>s</w:t>
      </w:r>
      <w:r w:rsidR="009B4DDA">
        <w:t xml:space="preserve">econd </w:t>
      </w:r>
      <w:r>
        <w:t xml:space="preserve">source is </w:t>
      </w:r>
      <w:r w:rsidR="009B4DDA">
        <w:rPr>
          <w:rFonts w:hint="eastAsia"/>
        </w:rPr>
        <w:t xml:space="preserve">the </w:t>
      </w:r>
      <w:r>
        <w:t>one</w:t>
      </w:r>
      <w:r w:rsidR="009B4DDA">
        <w:rPr>
          <w:rFonts w:hint="eastAsia"/>
        </w:rPr>
        <w:t>-</w:t>
      </w:r>
      <w:r>
        <w:t>minute interval KOSPI 200 cash and futures prices.</w:t>
      </w:r>
    </w:p>
    <w:p w:rsidR="00A44840" w:rsidRDefault="00D35F5E">
      <w:pPr>
        <w:pStyle w:val="a8"/>
      </w:pPr>
      <w:r>
        <w:t xml:space="preserve">&lt;Figure 2&gt; </w:t>
      </w:r>
      <w:r w:rsidR="009B4DDA">
        <w:rPr>
          <w:rFonts w:hint="eastAsia"/>
        </w:rPr>
        <w:t>conveys</w:t>
      </w:r>
      <w:r w:rsidR="009B4DDA">
        <w:t xml:space="preserve"> </w:t>
      </w:r>
      <w:r>
        <w:t xml:space="preserve">the patterns of cash and futures trading volumes. The trading volumes are very volatile in the long run. Cash trading volume increased dramatically until the middle of 2002, but </w:t>
      </w:r>
      <w:r w:rsidR="009B4DDA">
        <w:rPr>
          <w:rFonts w:hint="eastAsia"/>
        </w:rPr>
        <w:t>has become</w:t>
      </w:r>
      <w:r w:rsidR="009B4DDA">
        <w:t xml:space="preserve"> </w:t>
      </w:r>
      <w:r>
        <w:t>stable for a long period after the middle of 2003. The futures trading volume remained relatively stable until the middle of 2008</w:t>
      </w:r>
      <w:r w:rsidR="009B4DDA">
        <w:rPr>
          <w:rFonts w:hint="eastAsia"/>
        </w:rPr>
        <w:t>;</w:t>
      </w:r>
      <w:r>
        <w:t xml:space="preserve"> </w:t>
      </w:r>
      <w:r w:rsidR="009B4DDA">
        <w:rPr>
          <w:rFonts w:hint="eastAsia"/>
        </w:rPr>
        <w:t xml:space="preserve">yet, </w:t>
      </w:r>
      <w:r>
        <w:t xml:space="preserve">it increased dramatically since then. </w:t>
      </w:r>
    </w:p>
    <w:p w:rsidR="00A44840" w:rsidRDefault="00D91DF9">
      <w:pPr>
        <w:pStyle w:val="af1"/>
      </w:pPr>
      <w:r>
        <w:rPr>
          <w:noProof/>
        </w:rPr>
        <w:lastRenderedPageBreak/>
        <w:drawing>
          <wp:inline distT="0" distB="0" distL="0" distR="0">
            <wp:extent cx="4895850" cy="2813970"/>
            <wp:effectExtent l="19050" t="0" r="0" b="0"/>
            <wp:docPr id="17" name="그림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srcRect/>
                    <a:stretch>
                      <a:fillRect/>
                    </a:stretch>
                  </pic:blipFill>
                  <pic:spPr bwMode="auto">
                    <a:xfrm>
                      <a:off x="0" y="0"/>
                      <a:ext cx="4895850" cy="2813970"/>
                    </a:xfrm>
                    <a:prstGeom prst="rect">
                      <a:avLst/>
                    </a:prstGeom>
                    <a:noFill/>
                    <a:ln w="9525">
                      <a:noFill/>
                      <a:miter lim="800000"/>
                      <a:headEnd/>
                      <a:tailEnd/>
                    </a:ln>
                  </pic:spPr>
                </pic:pic>
              </a:graphicData>
            </a:graphic>
          </wp:inline>
        </w:drawing>
      </w:r>
      <w:r w:rsidR="004E4790">
        <w:rPr>
          <w:noProof/>
        </w:rPr>
      </w:r>
      <w:r w:rsidR="003D65C8">
        <w:rPr>
          <w:noProof/>
        </w:rPr>
        <w:pict>
          <v:rect id="_x0000_s1103743517" o:spid="_x0000_s1039" alt="설명: 그림입니다. 원본 그림의 이름: CLP00000e1c237f.bmp 원본 그림의 크기: 가로 829pixel, 세로 468pixel"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y8VMQMAAC0GAAAOAAAAZHJzL2Uyb0RvYy54bWysVM2L3DYUvxf6Pwid67Hl8XzYrDdsZtal&#10;sG0XkpyDxpbHIrZkJO16tiWQQgqFXHos5AMCIaccAi1kD/mLdjb/Q57kmd2dzSW01UE8PT09vY/f&#10;++3dWTU1OmVKcylSTAYBRkzksuBimeIH9zNvipE2VBS0loKl+IxpfGf/22/2ujZhoaxkXTCFwInQ&#10;SdemuDKmTXxf5xVrqB7Ilgm4LKVqqIGjWvqFoh14b2o/DIKx30lVtErmTGvQzvtLvO/8lyXLzc9l&#10;qZlBdYohNuN25faF3f39PZosFW0rnm/CoP8iioZyAZ9euZpTQ9GJ4l+4aniupJalGeSy8WVZ8py5&#10;HCAbEtzK5l5FW+ZygeLo9qpM+v9zm/90eqwQL1IcEowEbaBHD1cBrIeakGA4iYYjMsGoYDqHsl18&#10;OF+//Xj56vf1sz/Wz94M0OXzP9d/n6ON/uVf6PLlP+u3TxM0Ozq2XgJG8nA4KQeLpv3S+NNv7y7O&#10;3yfo4v2T9esXaBrGLV+x+jt0+fTcKqLx1Clsm7pWJxDtvfZY2ULr9kjmjzQSclZRsWQHSsmuYrSA&#10;4hBr7+88sAcNT9Gi+1EWkCQ9MdJ1bFWqxjqEXqCVA8bZFTDYyqAclFEUTEbDEUY53IUknhCHHJ8m&#10;29et0uZ7JhtkhRQrAJ7zTk+PtLHR0GRrYj8TMuN17cBXix0FGPYa+Bue2jsbhcPSr3EQH04Pp5EX&#10;heNDLwrmc+8gm0XeOCOT0Xw4n83m5LH9l0RJxYuCCfvNFtck+jrcbCasR+QVsrWseWHd2ZC0Wi5m&#10;tUKnFOYqc8vVHG6uzfzdMFwRIJdbKZEwCu6GsZeNpxMvyqKRF0+CqReQ+G48DqI4mme7KR1xwf57&#10;SqhLcTwKR65LN4K+lZvD8LbZO2YNN8BcNW9SPHVWPZdYCB6KwrXWUF738o1S2PCvSwHt3jbaAdZi&#10;tMe6WS1WbjAdmi1+F7I4AwQrCQADLgPWBaGS6heMOmCwFAugWIzqHwTMgCW7raC2wmIrUJHDwxQb&#10;jHpxZnpSPGkVX1bgl/SFaQ9gTjLuIHwdw2a6gJNcJhv+tKR38+ysrll+/zMAAAD//wMAUEsDBBQA&#10;BgAIAAAAIQAvBuMB1gAAAAUBAAAPAAAAZHJzL2Rvd25yZXYueG1sTI/NasMwEITvhbyD2EJvjdQc&#10;SnAth1IIpKWXOH0AxVr/UGnXSErsvH2UUmgvyw6zzH5TbmbvxBlDHJg0PC0VCKSG7UCdhq/D9nEN&#10;IiZD1jgm1HDBCJtqcVeawvJEezzXqRM5hGJhNPQpjYWUsenRm7jkESl7LQdvUpahkzaYKYd7J1dK&#10;PUtvBsofejPiW4/Nd33yGuSh3k7r2gXFH6v2073v9i2y1g/38+sLiIRz+juGG35GhyozHflENgqn&#10;IRdJP/PmKZXl8XeRVSn/01dXAAAA//8DAFBLAQItABQABgAIAAAAIQC2gziS/gAAAOEBAAATAAAA&#10;AAAAAAAAAAAAAAAAAABbQ29udGVudF9UeXBlc10ueG1sUEsBAi0AFAAGAAgAAAAhADj9If/WAAAA&#10;lAEAAAsAAAAAAAAAAAAAAAAALwEAAF9yZWxzLy5yZWxzUEsBAi0AFAAGAAgAAAAhADMPLxUxAwAA&#10;LQYAAA4AAAAAAAAAAAAAAAAALgIAAGRycy9lMm9Eb2MueG1sUEsBAi0AFAAGAAgAAAAhAC8G4wHW&#10;AAAABQEAAA8AAAAAAAAAAAAAAAAAiwUAAGRycy9kb3ducmV2LnhtbFBLBQYAAAAABAAEAPMAAACO&#10;BgAAAAA=&#10;" filled="f" stroked="f">
            <v:textbox style="mso-fit-shape-to-text:t" inset="0,0,0,0">
              <w:txbxContent>
                <w:p w:rsidR="006B03CF" w:rsidRDefault="006B03CF">
                  <w:pPr>
                    <w:pStyle w:val="af1"/>
                  </w:pPr>
                  <w:r>
                    <w:t xml:space="preserve">&lt;Figure </w:t>
                  </w:r>
                  <w:r>
                    <w:fldChar w:fldCharType="begin"/>
                  </w:r>
                  <w:r>
                    <w:instrText>SEQ 그림\* ARABIC\r 2</w:instrText>
                  </w:r>
                  <w:r>
                    <w:fldChar w:fldCharType="separate"/>
                  </w:r>
                  <w:r>
                    <w:rPr>
                      <w:noProof/>
                    </w:rPr>
                    <w:t>2</w:t>
                  </w:r>
                  <w:r>
                    <w:rPr>
                      <w:noProof/>
                    </w:rPr>
                    <w:fldChar w:fldCharType="end"/>
                  </w:r>
                  <w:r>
                    <w:t>&gt; KOSPI 200 spot and futures market trading volume</w:t>
                  </w:r>
                </w:p>
              </w:txbxContent>
            </v:textbox>
            <w10:wrap type="none"/>
            <w10:anchorlock/>
          </v:rect>
        </w:pict>
      </w:r>
    </w:p>
    <w:p w:rsidR="00A44840" w:rsidRDefault="00A44840">
      <w:pPr>
        <w:pStyle w:val="ae"/>
      </w:pPr>
    </w:p>
    <w:p w:rsidR="00A44840" w:rsidRDefault="00D35F5E">
      <w:pPr>
        <w:pStyle w:val="ab"/>
      </w:pPr>
      <w:r>
        <w:t>3. Basic Statistics</w:t>
      </w:r>
    </w:p>
    <w:p w:rsidR="00A44840" w:rsidRDefault="00D35F5E">
      <w:pPr>
        <w:pStyle w:val="a8"/>
      </w:pPr>
      <w:r>
        <w:t>The first observed price on a given day is the opening price at 9:00.</w:t>
      </w:r>
      <w:r>
        <w:rPr>
          <w:vertAlign w:val="superscript"/>
        </w:rPr>
        <w:footnoteReference w:id="4"/>
      </w:r>
      <w:r>
        <w:t xml:space="preserve"> This price is determined based on the orders </w:t>
      </w:r>
      <w:r w:rsidR="00CA37ED">
        <w:rPr>
          <w:rFonts w:hint="eastAsia"/>
        </w:rPr>
        <w:t xml:space="preserve">that </w:t>
      </w:r>
      <w:r>
        <w:t xml:space="preserve">occurred between 8:00 and 9:00. </w:t>
      </w:r>
      <w:r w:rsidR="00CA37ED">
        <w:t>Subsequently</w:t>
      </w:r>
      <w:r>
        <w:t>, 15</w:t>
      </w:r>
      <w:r w:rsidR="00CA37ED">
        <w:rPr>
          <w:rFonts w:hint="eastAsia"/>
        </w:rPr>
        <w:t>-</w:t>
      </w:r>
      <w:r>
        <w:t xml:space="preserve">minute interval prices are gathered until 14:30. In addition to these prices, spot prices </w:t>
      </w:r>
      <w:r w:rsidR="00CA37ED">
        <w:rPr>
          <w:rFonts w:hint="eastAsia"/>
        </w:rPr>
        <w:t>at</w:t>
      </w:r>
      <w:r w:rsidR="00CA37ED">
        <w:t xml:space="preserve"> </w:t>
      </w:r>
      <w:r>
        <w:t xml:space="preserve">14:50 and 15:00 are included. Futures prices </w:t>
      </w:r>
      <w:r w:rsidR="00CA37ED">
        <w:rPr>
          <w:rFonts w:hint="eastAsia"/>
        </w:rPr>
        <w:t>at</w:t>
      </w:r>
      <w:r>
        <w:t xml:space="preserve"> 14:50, 15:00</w:t>
      </w:r>
      <w:r w:rsidR="00CA37ED">
        <w:rPr>
          <w:rFonts w:hint="eastAsia"/>
        </w:rPr>
        <w:t xml:space="preserve"> and</w:t>
      </w:r>
      <w:r>
        <w:t xml:space="preserve"> 15:05</w:t>
      </w:r>
      <w:r w:rsidR="00CA37ED">
        <w:rPr>
          <w:rFonts w:hint="eastAsia"/>
        </w:rPr>
        <w:t xml:space="preserve"> </w:t>
      </w:r>
      <w:r>
        <w:t xml:space="preserve">(the closing price determined by </w:t>
      </w:r>
      <w:r w:rsidR="00CA37ED">
        <w:rPr>
          <w:rFonts w:hint="eastAsia"/>
        </w:rPr>
        <w:t xml:space="preserve">a </w:t>
      </w:r>
      <w:r>
        <w:t xml:space="preserve">single auction pricing system) </w:t>
      </w:r>
      <w:r w:rsidR="00CA37ED">
        <w:rPr>
          <w:rFonts w:hint="eastAsia"/>
        </w:rPr>
        <w:t>as well as the</w:t>
      </w:r>
      <w:r w:rsidR="00CA37ED">
        <w:t xml:space="preserve"> </w:t>
      </w:r>
      <w:r>
        <w:t xml:space="preserve">closing price </w:t>
      </w:r>
      <w:r w:rsidR="00CA37ED">
        <w:rPr>
          <w:rFonts w:hint="eastAsia"/>
        </w:rPr>
        <w:t>at</w:t>
      </w:r>
      <w:r w:rsidR="00CA37ED">
        <w:t xml:space="preserve"> </w:t>
      </w:r>
      <w:r>
        <w:t xml:space="preserve">15:15 are also included. </w:t>
      </w:r>
      <w:bookmarkStart w:id="3" w:name="f_1113894783"/>
      <w:r>
        <w:rPr>
          <w:vertAlign w:val="superscript"/>
        </w:rPr>
        <w:footnoteReference w:id="5"/>
      </w:r>
      <w:bookmarkEnd w:id="3"/>
    </w:p>
    <w:p w:rsidR="00A44840" w:rsidRDefault="00D35F5E">
      <w:pPr>
        <w:pStyle w:val="a8"/>
      </w:pPr>
      <w:r>
        <w:t>The daily U</w:t>
      </w:r>
      <w:r w:rsidR="00CA37ED">
        <w:rPr>
          <w:rFonts w:hint="eastAsia"/>
        </w:rPr>
        <w:t>.</w:t>
      </w:r>
      <w:r>
        <w:t>S</w:t>
      </w:r>
      <w:r w:rsidR="00CA37ED">
        <w:rPr>
          <w:rFonts w:hint="eastAsia"/>
        </w:rPr>
        <w:t>.</w:t>
      </w:r>
      <w:r>
        <w:t xml:space="preserve"> stock returns are calculated based on the closing prices using equation</w:t>
      </w:r>
      <w:r w:rsidR="00CA37ED">
        <w:rPr>
          <w:rFonts w:hint="eastAsia"/>
        </w:rPr>
        <w:t xml:space="preserve"> </w:t>
      </w:r>
      <w:r>
        <w:t>(1).</w:t>
      </w:r>
    </w:p>
    <w:p w:rsidR="00A44840" w:rsidRDefault="00A44840">
      <w:pPr>
        <w:pStyle w:val="a8"/>
      </w:pP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us,t</m:t>
            </m:r>
          </m:sub>
        </m:sSub>
        <m:r>
          <m:rPr>
            <m:sty m:val="p"/>
          </m:rPr>
          <w:rPr>
            <w:rFonts w:ascii="Cambria Math"/>
          </w:rPr>
          <m:t>=</m:t>
        </m:r>
        <m:func>
          <m:funcPr>
            <m:ctrlPr>
              <w:rPr>
                <w:rFonts w:ascii="Cambria Math" w:hAnsi="Cambria Math" w:cs="Cambria Math"/>
              </w:rPr>
            </m:ctrlPr>
          </m:funcPr>
          <m:fName>
            <m:r>
              <m:rPr>
                <m:sty m:val="p"/>
              </m:rPr>
              <w:rPr>
                <w:rFonts w:ascii="Cambria Math"/>
              </w:rPr>
              <m:t>ln</m:t>
            </m:r>
            <m:ctrlPr>
              <w:rPr>
                <w:rFonts w:ascii="Cambria Math" w:hAnsi="Cambria Math"/>
              </w:rPr>
            </m:ctrlPr>
          </m:fName>
          <m:e>
            <m:d>
              <m:dPr>
                <m:ctrlPr>
                  <w:rPr>
                    <w:rFonts w:ascii="Cambria Math" w:hAnsi="Cambria Math"/>
                  </w:rPr>
                </m:ctrlPr>
              </m:dPr>
              <m:e>
                <m:sSub>
                  <m:sSubPr>
                    <m:ctrlPr>
                      <w:rPr>
                        <w:rFonts w:ascii="Cambria Math" w:hAnsi="Cambria Math"/>
                      </w:rPr>
                    </m:ctrlPr>
                  </m:sSubPr>
                  <m:e>
                    <m:r>
                      <m:rPr>
                        <m:sty m:val="p"/>
                      </m:rPr>
                      <w:rPr>
                        <w:rFonts w:ascii="Cambria Math"/>
                      </w:rPr>
                      <m:t>P</m:t>
                    </m:r>
                  </m:e>
                  <m:sub>
                    <m:r>
                      <m:rPr>
                        <m:sty m:val="p"/>
                      </m:rPr>
                      <w:rPr>
                        <w:rFonts w:ascii="Cambria Math"/>
                      </w:rPr>
                      <m:t>us,t</m:t>
                    </m:r>
                  </m:sub>
                </m:sSub>
                <m:r>
                  <m:rPr>
                    <m:lit/>
                    <m:sty m:val="p"/>
                  </m:rPr>
                  <w:rPr>
                    <w:rFonts w:ascii="Cambria Math"/>
                  </w:rPr>
                  <m:t>/</m:t>
                </m:r>
                <m:sSub>
                  <m:sSubPr>
                    <m:ctrlPr>
                      <w:rPr>
                        <w:rFonts w:ascii="Cambria Math" w:hAnsi="Cambria Math"/>
                      </w:rPr>
                    </m:ctrlPr>
                  </m:sSubPr>
                  <m:e>
                    <m:r>
                      <m:rPr>
                        <m:sty m:val="p"/>
                      </m:rPr>
                      <w:rPr>
                        <w:rFonts w:ascii="Cambria Math"/>
                      </w:rPr>
                      <m:t>P</m:t>
                    </m:r>
                  </m:e>
                  <m:sub>
                    <m:r>
                      <m:rPr>
                        <m:sty m:val="p"/>
                      </m:rPr>
                      <w:rPr>
                        <w:rFonts w:ascii="Cambria Math"/>
                      </w:rPr>
                      <m:t>us,t</m:t>
                    </m:r>
                    <m:r>
                      <m:rPr>
                        <m:sty m:val="p"/>
                      </m:rPr>
                      <w:rPr>
                        <w:rFonts w:ascii="Cambria Math"/>
                      </w:rPr>
                      <m:t>-</m:t>
                    </m:r>
                    <m:r>
                      <m:rPr>
                        <m:sty m:val="p"/>
                      </m:rPr>
                      <w:rPr>
                        <w:rFonts w:ascii="Cambria Math"/>
                      </w:rPr>
                      <m:t>1</m:t>
                    </m:r>
                  </m:sub>
                </m:sSub>
              </m:e>
            </m:d>
          </m:e>
        </m:func>
        <m:r>
          <m:rPr>
            <m:sty m:val="p"/>
          </m:rPr>
          <w:rPr>
            <w:rFonts w:ascii="Cambria Math"/>
          </w:rPr>
          <m:t>×</m:t>
        </m:r>
        <m:r>
          <m:rPr>
            <m:sty m:val="p"/>
          </m:rPr>
          <w:rPr>
            <w:rFonts w:ascii="Cambria Math"/>
          </w:rPr>
          <m:t>100</m:t>
        </m:r>
      </m:oMath>
      <w:r w:rsidR="00D35F5E">
        <w:t xml:space="preserve">                                      (1)</w:t>
      </w:r>
    </w:p>
    <w:p w:rsidR="00A44840" w:rsidRDefault="00A44840">
      <w:pPr>
        <w:pStyle w:val="ae"/>
      </w:pPr>
    </w:p>
    <w:p w:rsidR="00A44840" w:rsidRDefault="00D35F5E">
      <w:pPr>
        <w:pStyle w:val="ae"/>
      </w:pPr>
      <w:r>
        <w:t>Here</w:t>
      </w:r>
      <w:r w:rsidR="00CA37ED">
        <w:rPr>
          <w:rFonts w:hint="eastAsia"/>
        </w:rPr>
        <w:t>,</w:t>
      </w:r>
      <w:r>
        <w:t xml:space="preserve">  </w:t>
      </w:r>
      <m:oMath>
        <m:sSub>
          <m:sSubPr>
            <m:ctrlPr>
              <w:rPr>
                <w:rFonts w:ascii="Cambria Math" w:hAnsi="Cambria Math"/>
              </w:rPr>
            </m:ctrlPr>
          </m:sSubPr>
          <m:e>
            <m:r>
              <m:rPr>
                <m:sty m:val="p"/>
              </m:rPr>
              <w:rPr>
                <w:rFonts w:ascii="Cambria Math"/>
              </w:rPr>
              <m:t>r</m:t>
            </m:r>
          </m:e>
          <m:sub>
            <m:r>
              <m:rPr>
                <m:sty m:val="p"/>
              </m:rPr>
              <w:rPr>
                <w:rFonts w:ascii="Cambria Math"/>
              </w:rPr>
              <m:t>us,t</m:t>
            </m:r>
          </m:sub>
        </m:sSub>
      </m:oMath>
      <w:r>
        <w:t xml:space="preserve"> is </w:t>
      </w:r>
      <w:r w:rsidR="00CA37ED">
        <w:rPr>
          <w:rFonts w:hint="eastAsia"/>
        </w:rPr>
        <w:t xml:space="preserve">the </w:t>
      </w:r>
      <w:r>
        <w:t xml:space="preserve">U.S. daily return on date t,  </w:t>
      </w:r>
      <m:oMath>
        <m:sSub>
          <m:sSubPr>
            <m:ctrlPr>
              <w:rPr>
                <w:rFonts w:ascii="Cambria Math" w:hAnsi="Cambria Math"/>
              </w:rPr>
            </m:ctrlPr>
          </m:sSubPr>
          <m:e>
            <m:r>
              <m:rPr>
                <m:sty m:val="p"/>
              </m:rPr>
              <w:rPr>
                <w:rFonts w:ascii="Cambria Math"/>
              </w:rPr>
              <m:t>P</m:t>
            </m:r>
          </m:e>
          <m:sub>
            <m:r>
              <m:rPr>
                <m:sty m:val="p"/>
              </m:rPr>
              <w:rPr>
                <w:rFonts w:ascii="Cambria Math"/>
              </w:rPr>
              <m:t>us,t</m:t>
            </m:r>
          </m:sub>
        </m:sSub>
      </m:oMath>
      <w:r>
        <w:t xml:space="preserve"> is </w:t>
      </w:r>
      <w:r w:rsidR="00CA37ED">
        <w:rPr>
          <w:rFonts w:hint="eastAsia"/>
        </w:rPr>
        <w:t xml:space="preserve">the </w:t>
      </w:r>
      <w:r>
        <w:t>S&amp;P</w:t>
      </w:r>
      <w:r w:rsidR="004737B0">
        <w:rPr>
          <w:rFonts w:hint="eastAsia"/>
        </w:rPr>
        <w:t xml:space="preserve"> </w:t>
      </w:r>
      <w:r>
        <w:t xml:space="preserve">500 daily closing price on date t. </w:t>
      </w:r>
    </w:p>
    <w:p w:rsidR="00A44840" w:rsidRDefault="002F1C8D">
      <w:pPr>
        <w:pStyle w:val="a8"/>
      </w:pPr>
      <w:r>
        <w:rPr>
          <w:rFonts w:hint="eastAsia"/>
        </w:rPr>
        <w:t>C</w:t>
      </w:r>
      <w:r>
        <w:t xml:space="preserve">ash </w:t>
      </w:r>
      <w:r w:rsidR="00D35F5E">
        <w:t>and futures returns in the Korean markets are calculated based on the previous day closing price using equation</w:t>
      </w:r>
      <w:r>
        <w:rPr>
          <w:rFonts w:hint="eastAsia"/>
        </w:rPr>
        <w:t xml:space="preserve"> </w:t>
      </w:r>
      <w:r w:rsidR="00D35F5E">
        <w:t xml:space="preserve">(2). </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S,t,j</m:t>
            </m:r>
          </m:sub>
        </m:sSub>
        <m:r>
          <m:rPr>
            <m:sty m:val="p"/>
          </m:rPr>
          <w:rPr>
            <w:rFonts w:ascii="Cambria Math"/>
          </w:rPr>
          <m:t>=</m:t>
        </m:r>
        <m:func>
          <m:funcPr>
            <m:ctrlPr>
              <w:rPr>
                <w:rFonts w:ascii="Cambria Math" w:hAnsi="Cambria Math" w:cs="Cambria Math"/>
              </w:rPr>
            </m:ctrlPr>
          </m:funcPr>
          <m:fName>
            <m:r>
              <m:rPr>
                <m:sty m:val="p"/>
              </m:rPr>
              <w:rPr>
                <w:rFonts w:ascii="Cambria Math"/>
              </w:rPr>
              <m:t>ln</m:t>
            </m:r>
            <m:ctrlPr>
              <w:rPr>
                <w:rFonts w:ascii="Cambria Math" w:hAnsi="Cambria Math"/>
              </w:rPr>
            </m:ctrlPr>
          </m:fName>
          <m:e>
            <m:d>
              <m:dPr>
                <m:ctrlPr>
                  <w:rPr>
                    <w:rFonts w:ascii="Cambria Math" w:hAnsi="Cambria Math"/>
                  </w:rPr>
                </m:ctrlPr>
              </m:dPr>
              <m:e>
                <m:sSub>
                  <m:sSubPr>
                    <m:ctrlPr>
                      <w:rPr>
                        <w:rFonts w:ascii="Cambria Math" w:hAnsi="Cambria Math"/>
                      </w:rPr>
                    </m:ctrlPr>
                  </m:sSubPr>
                  <m:e>
                    <m:r>
                      <m:rPr>
                        <m:sty m:val="p"/>
                      </m:rPr>
                      <w:rPr>
                        <w:rFonts w:ascii="Cambria Math"/>
                      </w:rPr>
                      <m:t>P</m:t>
                    </m:r>
                  </m:e>
                  <m:sub>
                    <m:r>
                      <m:rPr>
                        <m:sty m:val="p"/>
                      </m:rPr>
                      <w:rPr>
                        <w:rFonts w:ascii="Cambria Math"/>
                      </w:rPr>
                      <m:t>S,t,j</m:t>
                    </m:r>
                  </m:sub>
                </m:sSub>
                <m:r>
                  <m:rPr>
                    <m:lit/>
                    <m:sty m:val="p"/>
                  </m:rPr>
                  <w:rPr>
                    <w:rFonts w:ascii="Cambria Math"/>
                  </w:rPr>
                  <m:t>/</m:t>
                </m:r>
                <m:sSub>
                  <m:sSubPr>
                    <m:ctrlPr>
                      <w:rPr>
                        <w:rFonts w:ascii="Cambria Math" w:hAnsi="Cambria Math"/>
                      </w:rPr>
                    </m:ctrlPr>
                  </m:sSubPr>
                  <m:e>
                    <m:r>
                      <m:rPr>
                        <m:sty m:val="p"/>
                      </m:rPr>
                      <w:rPr>
                        <w:rFonts w:ascii="Cambria Math"/>
                      </w:rPr>
                      <m:t>P</m:t>
                    </m:r>
                  </m:e>
                  <m:sub>
                    <m:r>
                      <m:rPr>
                        <m:sty m:val="p"/>
                      </m:rPr>
                      <w:rPr>
                        <w:rFonts w:ascii="Cambria Math"/>
                      </w:rPr>
                      <m:t>S,t</m:t>
                    </m:r>
                    <m:r>
                      <m:rPr>
                        <m:sty m:val="p"/>
                      </m:rPr>
                      <w:rPr>
                        <w:rFonts w:ascii="Cambria Math"/>
                      </w:rPr>
                      <m:t>-</m:t>
                    </m:r>
                    <m:r>
                      <m:rPr>
                        <m:sty m:val="p"/>
                      </m:rPr>
                      <w:rPr>
                        <w:rFonts w:ascii="Cambria Math"/>
                      </w:rPr>
                      <m:t>1,15:00</m:t>
                    </m:r>
                  </m:sub>
                </m:sSub>
              </m:e>
            </m:d>
          </m:e>
        </m:func>
        <m:r>
          <m:rPr>
            <m:sty m:val="p"/>
          </m:rPr>
          <w:rPr>
            <w:rFonts w:ascii="Cambria Math"/>
          </w:rPr>
          <m:t>×</m:t>
        </m:r>
        <m:r>
          <m:rPr>
            <m:sty m:val="p"/>
          </m:rPr>
          <w:rPr>
            <w:rFonts w:ascii="Cambria Math"/>
          </w:rPr>
          <m:t>100</m:t>
        </m:r>
      </m:oMath>
      <w:r w:rsidR="00D35F5E">
        <w:t xml:space="preserve">                                  (2)</w:t>
      </w:r>
    </w:p>
    <w:p w:rsidR="00A44840" w:rsidRDefault="00D35F5E">
      <w:pPr>
        <w:pStyle w:val="ae"/>
      </w:pPr>
      <w:r>
        <w:t>Here</w:t>
      </w:r>
      <w:r w:rsidR="002F1C8D">
        <w:rPr>
          <w:rFonts w:hint="eastAsia"/>
        </w:rPr>
        <w:t>,</w:t>
      </w:r>
      <w:r>
        <w:t xml:space="preserve"> </w:t>
      </w:r>
      <m:oMath>
        <m:sSub>
          <m:sSubPr>
            <m:ctrlPr>
              <w:rPr>
                <w:rFonts w:ascii="Cambria Math" w:hAnsi="Cambria Math"/>
              </w:rPr>
            </m:ctrlPr>
          </m:sSubPr>
          <m:e>
            <m:r>
              <m:rPr>
                <m:sty m:val="p"/>
              </m:rPr>
              <w:rPr>
                <w:rFonts w:ascii="Cambria Math"/>
              </w:rPr>
              <m:t>r</m:t>
            </m:r>
          </m:e>
          <m:sub>
            <m:r>
              <m:rPr>
                <m:sty m:val="p"/>
              </m:rPr>
              <w:rPr>
                <w:rFonts w:ascii="Cambria Math"/>
              </w:rPr>
              <m:t>S,t,j</m:t>
            </m:r>
          </m:sub>
        </m:sSub>
      </m:oMath>
      <w:r>
        <w:t xml:space="preserve"> is </w:t>
      </w:r>
      <w:r w:rsidR="002F1C8D">
        <w:rPr>
          <w:rFonts w:hint="eastAsia"/>
        </w:rPr>
        <w:t xml:space="preserve">the </w:t>
      </w:r>
      <w:r>
        <w:t xml:space="preserve">KOSPI 200 cash return </w:t>
      </w:r>
      <w:r w:rsidR="002F1C8D">
        <w:rPr>
          <w:rFonts w:hint="eastAsia"/>
        </w:rPr>
        <w:t>at</w:t>
      </w:r>
      <w:r w:rsidR="002F1C8D">
        <w:t xml:space="preserve"> </w:t>
      </w:r>
      <w:r>
        <w:t xml:space="preserve">time j, date t. </w:t>
      </w:r>
      <m:oMath>
        <m:sSub>
          <m:sSubPr>
            <m:ctrlPr>
              <w:rPr>
                <w:rFonts w:ascii="Cambria Math" w:hAnsi="Cambria Math"/>
              </w:rPr>
            </m:ctrlPr>
          </m:sSubPr>
          <m:e>
            <m:r>
              <m:rPr>
                <m:sty m:val="p"/>
              </m:rPr>
              <w:rPr>
                <w:rFonts w:ascii="Cambria Math"/>
              </w:rPr>
              <m:t>P</m:t>
            </m:r>
          </m:e>
          <m:sub>
            <m:r>
              <m:rPr>
                <m:sty m:val="p"/>
              </m:rPr>
              <w:rPr>
                <w:rFonts w:ascii="Cambria Math"/>
              </w:rPr>
              <m:t>S,t</m:t>
            </m:r>
            <m:r>
              <m:rPr>
                <m:sty m:val="p"/>
              </m:rPr>
              <w:rPr>
                <w:rFonts w:ascii="Cambria Math"/>
              </w:rPr>
              <m:t>-</m:t>
            </m:r>
            <m:r>
              <m:rPr>
                <m:sty m:val="p"/>
              </m:rPr>
              <w:rPr>
                <w:rFonts w:ascii="Cambria Math"/>
              </w:rPr>
              <m:t>1,15:00</m:t>
            </m:r>
          </m:sub>
        </m:sSub>
      </m:oMath>
      <w:r>
        <w:t xml:space="preserve"> is </w:t>
      </w:r>
      <w:r w:rsidR="002F1C8D">
        <w:rPr>
          <w:rFonts w:hint="eastAsia"/>
        </w:rPr>
        <w:t xml:space="preserve">the </w:t>
      </w:r>
      <w:r>
        <w:t xml:space="preserve">KOSPI 200 spot </w:t>
      </w:r>
      <w:r w:rsidR="002F1C8D">
        <w:rPr>
          <w:rFonts w:hint="eastAsia"/>
        </w:rPr>
        <w:t>at</w:t>
      </w:r>
      <w:r>
        <w:t xml:space="preserve"> time</w:t>
      </w:r>
      <w:r w:rsidR="002F1C8D">
        <w:rPr>
          <w:rFonts w:hint="eastAsia"/>
        </w:rPr>
        <w:t xml:space="preserve"> </w:t>
      </w:r>
      <w:r>
        <w:t xml:space="preserve">15:00, date t-1. </w:t>
      </w:r>
      <m:oMath>
        <m:sSub>
          <m:sSubPr>
            <m:ctrlPr>
              <w:rPr>
                <w:rFonts w:ascii="Cambria Math" w:hAnsi="Cambria Math"/>
              </w:rPr>
            </m:ctrlPr>
          </m:sSubPr>
          <m:e>
            <m:r>
              <m:rPr>
                <m:sty m:val="p"/>
              </m:rPr>
              <w:rPr>
                <w:rFonts w:ascii="Cambria Math"/>
              </w:rPr>
              <m:t>P</m:t>
            </m:r>
          </m:e>
          <m:sub>
            <m:r>
              <m:rPr>
                <m:sty m:val="p"/>
              </m:rPr>
              <w:rPr>
                <w:rFonts w:ascii="Cambria Math"/>
              </w:rPr>
              <m:t>S,t,j</m:t>
            </m:r>
          </m:sub>
        </m:sSub>
      </m:oMath>
      <w:r>
        <w:t xml:space="preserve"> </w:t>
      </w:r>
      <w:proofErr w:type="gramStart"/>
      <w:r>
        <w:t>is</w:t>
      </w:r>
      <w:proofErr w:type="gramEnd"/>
      <w:r>
        <w:t xml:space="preserve"> </w:t>
      </w:r>
      <w:r w:rsidR="002F1C8D">
        <w:rPr>
          <w:rFonts w:hint="eastAsia"/>
        </w:rPr>
        <w:t xml:space="preserve">the </w:t>
      </w:r>
      <w:r>
        <w:t xml:space="preserve">KOSPI 200 spot </w:t>
      </w:r>
      <w:r w:rsidR="002F1C8D">
        <w:rPr>
          <w:rFonts w:hint="eastAsia"/>
        </w:rPr>
        <w:t>at</w:t>
      </w:r>
      <w:r>
        <w:t xml:space="preserve"> time j, date t. </w:t>
      </w:r>
      <w:r w:rsidR="002F1C8D">
        <w:rPr>
          <w:rFonts w:hint="eastAsia"/>
        </w:rPr>
        <w:t>Further,</w:t>
      </w:r>
      <w:r>
        <w:t xml:space="preserve"> j indicates </w:t>
      </w:r>
      <w:r w:rsidR="002F1C8D">
        <w:rPr>
          <w:rFonts w:hint="eastAsia"/>
        </w:rPr>
        <w:t xml:space="preserve">the </w:t>
      </w:r>
      <w:r>
        <w:t xml:space="preserve">time </w:t>
      </w:r>
      <w:r>
        <w:lastRenderedPageBreak/>
        <w:t>points</w:t>
      </w:r>
      <w:r w:rsidR="002F1C8D">
        <w:rPr>
          <w:rFonts w:hint="eastAsia"/>
        </w:rPr>
        <w:t xml:space="preserve"> </w:t>
      </w:r>
      <w:r>
        <w:t>(9:00, 9:15</w:t>
      </w:r>
      <w:proofErr w:type="gramStart"/>
      <w:r>
        <w:t>, . . ,</w:t>
      </w:r>
      <w:proofErr w:type="gramEnd"/>
      <w:r>
        <w:t xml:space="preserve"> 14:50, 15:00).</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F,t,j</m:t>
            </m:r>
          </m:sub>
        </m:sSub>
        <m:r>
          <m:rPr>
            <m:sty m:val="p"/>
          </m:rPr>
          <w:rPr>
            <w:rFonts w:ascii="Cambria Math"/>
          </w:rPr>
          <m:t>=</m:t>
        </m:r>
        <m:func>
          <m:funcPr>
            <m:ctrlPr>
              <w:rPr>
                <w:rFonts w:ascii="Cambria Math" w:hAnsi="Cambria Math" w:cs="Cambria Math"/>
              </w:rPr>
            </m:ctrlPr>
          </m:funcPr>
          <m:fName>
            <m:r>
              <m:rPr>
                <m:sty m:val="p"/>
              </m:rPr>
              <w:rPr>
                <w:rFonts w:ascii="Cambria Math"/>
              </w:rPr>
              <m:t>ln</m:t>
            </m:r>
            <m:ctrlPr>
              <w:rPr>
                <w:rFonts w:ascii="Cambria Math" w:hAnsi="Cambria Math"/>
              </w:rPr>
            </m:ctrlPr>
          </m:fName>
          <m:e>
            <m:d>
              <m:dPr>
                <m:ctrlPr>
                  <w:rPr>
                    <w:rFonts w:ascii="Cambria Math" w:hAnsi="Cambria Math"/>
                  </w:rPr>
                </m:ctrlPr>
              </m:dPr>
              <m:e>
                <m:sSub>
                  <m:sSubPr>
                    <m:ctrlPr>
                      <w:rPr>
                        <w:rFonts w:ascii="Cambria Math" w:hAnsi="Cambria Math"/>
                      </w:rPr>
                    </m:ctrlPr>
                  </m:sSubPr>
                  <m:e>
                    <m:r>
                      <m:rPr>
                        <m:sty m:val="p"/>
                      </m:rPr>
                      <w:rPr>
                        <w:rFonts w:ascii="Cambria Math"/>
                      </w:rPr>
                      <m:t>P</m:t>
                    </m:r>
                  </m:e>
                  <m:sub>
                    <m:r>
                      <m:rPr>
                        <m:sty m:val="p"/>
                      </m:rPr>
                      <w:rPr>
                        <w:rFonts w:ascii="Cambria Math"/>
                      </w:rPr>
                      <m:t>F,t,j</m:t>
                    </m:r>
                  </m:sub>
                </m:sSub>
                <m:r>
                  <m:rPr>
                    <m:lit/>
                    <m:sty m:val="p"/>
                  </m:rPr>
                  <w:rPr>
                    <w:rFonts w:ascii="Cambria Math"/>
                  </w:rPr>
                  <m:t>/</m:t>
                </m:r>
                <m:sSub>
                  <m:sSubPr>
                    <m:ctrlPr>
                      <w:rPr>
                        <w:rFonts w:ascii="Cambria Math" w:hAnsi="Cambria Math"/>
                      </w:rPr>
                    </m:ctrlPr>
                  </m:sSubPr>
                  <m:e>
                    <m:r>
                      <m:rPr>
                        <m:sty m:val="p"/>
                      </m:rPr>
                      <w:rPr>
                        <w:rFonts w:ascii="Cambria Math"/>
                      </w:rPr>
                      <m:t>P</m:t>
                    </m:r>
                  </m:e>
                  <m:sub>
                    <m:r>
                      <m:rPr>
                        <m:sty m:val="p"/>
                      </m:rPr>
                      <w:rPr>
                        <w:rFonts w:ascii="Cambria Math"/>
                      </w:rPr>
                      <m:t>F,t</m:t>
                    </m:r>
                    <m:r>
                      <m:rPr>
                        <m:sty m:val="p"/>
                      </m:rPr>
                      <w:rPr>
                        <w:rFonts w:ascii="Cambria Math"/>
                      </w:rPr>
                      <m:t>-</m:t>
                    </m:r>
                    <m:r>
                      <m:rPr>
                        <m:sty m:val="p"/>
                      </m:rPr>
                      <w:rPr>
                        <w:rFonts w:ascii="Cambria Math"/>
                      </w:rPr>
                      <m:t>1,15:15</m:t>
                    </m:r>
                  </m:sub>
                </m:sSub>
              </m:e>
            </m:d>
          </m:e>
        </m:func>
        <m:r>
          <m:rPr>
            <m:sty m:val="p"/>
          </m:rPr>
          <w:rPr>
            <w:rFonts w:ascii="Cambria Math"/>
          </w:rPr>
          <m:t>×</m:t>
        </m:r>
        <m:r>
          <m:rPr>
            <m:sty m:val="p"/>
          </m:rPr>
          <w:rPr>
            <w:rFonts w:ascii="Cambria Math"/>
          </w:rPr>
          <m:t>100</m:t>
        </m:r>
      </m:oMath>
      <w:r w:rsidR="00D35F5E">
        <w:t xml:space="preserve">                                  (3)</w:t>
      </w:r>
    </w:p>
    <w:p w:rsidR="00A44840" w:rsidRDefault="00D35F5E">
      <w:pPr>
        <w:pStyle w:val="ae"/>
      </w:pPr>
      <w:r>
        <w:t xml:space="preserve">Here, </w:t>
      </w:r>
      <m:oMath>
        <m:sSub>
          <m:sSubPr>
            <m:ctrlPr>
              <w:rPr>
                <w:rFonts w:ascii="Cambria Math" w:hAnsi="Cambria Math"/>
              </w:rPr>
            </m:ctrlPr>
          </m:sSubPr>
          <m:e>
            <m:r>
              <m:rPr>
                <m:sty m:val="p"/>
              </m:rPr>
              <w:rPr>
                <w:rFonts w:ascii="Cambria Math"/>
              </w:rPr>
              <m:t>r</m:t>
            </m:r>
          </m:e>
          <m:sub>
            <m:r>
              <m:rPr>
                <m:sty m:val="p"/>
              </m:rPr>
              <w:rPr>
                <w:rFonts w:ascii="Cambria Math"/>
              </w:rPr>
              <m:t>F,t,j</m:t>
            </m:r>
          </m:sub>
        </m:sSub>
      </m:oMath>
      <w:r>
        <w:t xml:space="preserve"> is </w:t>
      </w:r>
      <w:r w:rsidR="008204D6">
        <w:t>the</w:t>
      </w:r>
      <w:r w:rsidR="008204D6">
        <w:rPr>
          <w:rFonts w:hint="eastAsia"/>
        </w:rPr>
        <w:t xml:space="preserve"> </w:t>
      </w:r>
      <w:r>
        <w:t>KOSPI</w:t>
      </w:r>
      <w:r w:rsidR="008204D6">
        <w:rPr>
          <w:rFonts w:hint="eastAsia"/>
        </w:rPr>
        <w:t xml:space="preserve"> </w:t>
      </w:r>
      <w:r>
        <w:t xml:space="preserve">200 futures return </w:t>
      </w:r>
      <w:r w:rsidR="008204D6">
        <w:rPr>
          <w:rFonts w:hint="eastAsia"/>
        </w:rPr>
        <w:t>at</w:t>
      </w:r>
      <w:r w:rsidR="008204D6">
        <w:t xml:space="preserve"> </w:t>
      </w:r>
      <w:r>
        <w:t xml:space="preserve">time j, date t.  </w:t>
      </w:r>
      <m:oMath>
        <m:sSub>
          <m:sSubPr>
            <m:ctrlPr>
              <w:rPr>
                <w:rFonts w:ascii="Cambria Math" w:hAnsi="Cambria Math"/>
              </w:rPr>
            </m:ctrlPr>
          </m:sSubPr>
          <m:e>
            <m:r>
              <m:rPr>
                <m:sty m:val="p"/>
              </m:rPr>
              <w:rPr>
                <w:rFonts w:ascii="Cambria Math"/>
              </w:rPr>
              <m:t>P</m:t>
            </m:r>
          </m:e>
          <m:sub>
            <m:r>
              <m:rPr>
                <m:sty m:val="p"/>
              </m:rPr>
              <w:rPr>
                <w:rFonts w:ascii="Cambria Math"/>
              </w:rPr>
              <m:t>F,t</m:t>
            </m:r>
            <m:r>
              <m:rPr>
                <m:sty m:val="p"/>
              </m:rPr>
              <w:rPr>
                <w:rFonts w:ascii="Cambria Math"/>
              </w:rPr>
              <m:t>-</m:t>
            </m:r>
            <m:r>
              <m:rPr>
                <m:sty m:val="p"/>
              </m:rPr>
              <w:rPr>
                <w:rFonts w:ascii="Cambria Math"/>
              </w:rPr>
              <m:t>1,15:15</m:t>
            </m:r>
          </m:sub>
        </m:sSub>
      </m:oMath>
      <w:r>
        <w:t xml:space="preserve"> </w:t>
      </w:r>
      <w:proofErr w:type="gramStart"/>
      <w:r>
        <w:t>is</w:t>
      </w:r>
      <w:proofErr w:type="gramEnd"/>
      <w:r>
        <w:t xml:space="preserve"> </w:t>
      </w:r>
      <w:r w:rsidR="008204D6">
        <w:rPr>
          <w:rFonts w:hint="eastAsia"/>
        </w:rPr>
        <w:t xml:space="preserve">the </w:t>
      </w:r>
      <w:r>
        <w:t xml:space="preserve">KOSPI 200 futures </w:t>
      </w:r>
      <w:r w:rsidR="008204D6">
        <w:rPr>
          <w:rFonts w:hint="eastAsia"/>
        </w:rPr>
        <w:t>at</w:t>
      </w:r>
      <w:r w:rsidR="008204D6">
        <w:t xml:space="preserve"> </w:t>
      </w:r>
      <w:r>
        <w:t xml:space="preserve">time 15:15, date t-1.  </w:t>
      </w:r>
      <m:oMath>
        <m:sSub>
          <m:sSubPr>
            <m:ctrlPr>
              <w:rPr>
                <w:rFonts w:ascii="Cambria Math" w:hAnsi="Cambria Math"/>
              </w:rPr>
            </m:ctrlPr>
          </m:sSubPr>
          <m:e>
            <m:r>
              <m:rPr>
                <m:sty m:val="p"/>
              </m:rPr>
              <w:rPr>
                <w:rFonts w:ascii="Cambria Math"/>
              </w:rPr>
              <m:t>P</m:t>
            </m:r>
          </m:e>
          <m:sub>
            <m:r>
              <m:rPr>
                <m:sty m:val="p"/>
              </m:rPr>
              <w:rPr>
                <w:rFonts w:ascii="Cambria Math"/>
              </w:rPr>
              <m:t>F,t,j</m:t>
            </m:r>
          </m:sub>
        </m:sSub>
      </m:oMath>
      <w:proofErr w:type="gramStart"/>
      <w:r>
        <w:t>is</w:t>
      </w:r>
      <w:proofErr w:type="gramEnd"/>
      <w:r>
        <w:t xml:space="preserve"> </w:t>
      </w:r>
      <w:r w:rsidR="008204D6">
        <w:rPr>
          <w:rFonts w:hint="eastAsia"/>
        </w:rPr>
        <w:t xml:space="preserve">the </w:t>
      </w:r>
      <w:r>
        <w:t xml:space="preserve">KOSPI 200 futures </w:t>
      </w:r>
      <w:r w:rsidR="008204D6">
        <w:rPr>
          <w:rFonts w:hint="eastAsia"/>
        </w:rPr>
        <w:t>at</w:t>
      </w:r>
      <w:r w:rsidR="008204D6">
        <w:t xml:space="preserve"> </w:t>
      </w:r>
      <w:r>
        <w:t xml:space="preserve">time j, date t. </w:t>
      </w:r>
      <w:r w:rsidR="008204D6">
        <w:rPr>
          <w:rFonts w:hint="eastAsia"/>
        </w:rPr>
        <w:t>Further,</w:t>
      </w:r>
      <w:r>
        <w:t xml:space="preserve"> j indicates </w:t>
      </w:r>
      <w:r w:rsidR="008204D6">
        <w:rPr>
          <w:rFonts w:hint="eastAsia"/>
        </w:rPr>
        <w:t xml:space="preserve">the </w:t>
      </w:r>
      <w:r>
        <w:t>time points</w:t>
      </w:r>
      <w:r w:rsidR="008204D6">
        <w:rPr>
          <w:rFonts w:hint="eastAsia"/>
        </w:rPr>
        <w:t xml:space="preserve"> </w:t>
      </w:r>
      <w:r>
        <w:t>(9:00, 9:15</w:t>
      </w:r>
      <w:proofErr w:type="gramStart"/>
      <w:r>
        <w:t>, . . ,</w:t>
      </w:r>
      <w:proofErr w:type="gramEnd"/>
      <w:r>
        <w:t xml:space="preserve"> 14:50, 15:00).</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S,t,j</m:t>
            </m:r>
          </m:sub>
        </m:sSub>
      </m:oMath>
      <w:r w:rsidR="00D35F5E">
        <w:t xml:space="preserve"> </w:t>
      </w:r>
      <w:proofErr w:type="gramStart"/>
      <w:r w:rsidR="00D35F5E">
        <w:t>in</w:t>
      </w:r>
      <w:proofErr w:type="gramEnd"/>
      <w:r w:rsidR="00D35F5E">
        <w:t xml:space="preserve"> equation</w:t>
      </w:r>
      <w:r w:rsidR="001366D6">
        <w:rPr>
          <w:rFonts w:hint="eastAsia"/>
        </w:rPr>
        <w:t xml:space="preserve"> </w:t>
      </w:r>
      <w:r w:rsidR="00D35F5E">
        <w:t xml:space="preserve">(2) and </w:t>
      </w:r>
      <m:oMath>
        <m:sSub>
          <m:sSubPr>
            <m:ctrlPr>
              <w:rPr>
                <w:rFonts w:ascii="Cambria Math" w:hAnsi="Cambria Math"/>
              </w:rPr>
            </m:ctrlPr>
          </m:sSubPr>
          <m:e>
            <m:r>
              <m:rPr>
                <m:sty m:val="p"/>
              </m:rPr>
              <w:rPr>
                <w:rFonts w:ascii="Cambria Math"/>
              </w:rPr>
              <m:t>r</m:t>
            </m:r>
          </m:e>
          <m:sub>
            <m:r>
              <m:rPr>
                <m:sty m:val="p"/>
              </m:rPr>
              <w:rPr>
                <w:rFonts w:ascii="Cambria Math"/>
              </w:rPr>
              <m:t>F,t,j</m:t>
            </m:r>
          </m:sub>
        </m:sSub>
      </m:oMath>
      <w:r w:rsidR="00D35F5E">
        <w:t xml:space="preserve"> in equation</w:t>
      </w:r>
      <w:r w:rsidR="001366D6">
        <w:rPr>
          <w:rFonts w:hint="eastAsia"/>
        </w:rPr>
        <w:t xml:space="preserve"> </w:t>
      </w:r>
      <w:r w:rsidR="00D35F5E">
        <w:t>(3) are the price changes between</w:t>
      </w:r>
      <w:r w:rsidR="001366D6">
        <w:rPr>
          <w:rFonts w:hint="eastAsia"/>
        </w:rPr>
        <w:t xml:space="preserve"> the</w:t>
      </w:r>
      <w:r w:rsidR="00D35F5E">
        <w:t xml:space="preserve"> closing time at date t-1 and time j at date t. </w:t>
      </w:r>
      <w:r w:rsidR="001366D6">
        <w:rPr>
          <w:rFonts w:hint="eastAsia"/>
        </w:rPr>
        <w:t>Hence,</w:t>
      </w:r>
      <w:r w:rsidR="00D35F5E">
        <w:t xml:space="preserve"> </w:t>
      </w:r>
      <m:oMath>
        <m:sSub>
          <m:sSubPr>
            <m:ctrlPr>
              <w:rPr>
                <w:rFonts w:ascii="Cambria Math" w:hAnsi="Cambria Math"/>
              </w:rPr>
            </m:ctrlPr>
          </m:sSubPr>
          <m:e>
            <m:r>
              <m:rPr>
                <m:sty m:val="p"/>
              </m:rPr>
              <w:rPr>
                <w:rFonts w:ascii="Cambria Math"/>
              </w:rPr>
              <m:t>r</m:t>
            </m:r>
          </m:e>
          <m:sub>
            <m:r>
              <m:rPr>
                <m:sty m:val="p"/>
              </m:rPr>
              <w:rPr>
                <w:rFonts w:ascii="Cambria Math"/>
              </w:rPr>
              <m:t>S,t,9:00</m:t>
            </m:r>
          </m:sub>
        </m:sSub>
      </m:oMath>
      <w:proofErr w:type="gramStart"/>
      <w:r w:rsidR="00D35F5E">
        <w:t xml:space="preserve">and  </w:t>
      </w:r>
      <w:proofErr w:type="gramEnd"/>
      <m:oMath>
        <m:sSub>
          <m:sSubPr>
            <m:ctrlPr>
              <w:rPr>
                <w:rFonts w:ascii="Cambria Math" w:hAnsi="Cambria Math"/>
              </w:rPr>
            </m:ctrlPr>
          </m:sSubPr>
          <m:e>
            <m:r>
              <m:rPr>
                <m:sty m:val="p"/>
              </m:rPr>
              <w:rPr>
                <w:rFonts w:ascii="Cambria Math"/>
              </w:rPr>
              <m:t>r</m:t>
            </m:r>
          </m:e>
          <m:sub>
            <m:r>
              <m:rPr>
                <m:sty m:val="p"/>
              </m:rPr>
              <w:rPr>
                <w:rFonts w:ascii="Cambria Math"/>
              </w:rPr>
              <m:t>F,t,9:00</m:t>
            </m:r>
          </m:sub>
        </m:sSub>
      </m:oMath>
      <w:r w:rsidR="00D35F5E">
        <w:t xml:space="preserve">are </w:t>
      </w:r>
      <w:r w:rsidR="001366D6">
        <w:rPr>
          <w:rFonts w:hint="eastAsia"/>
        </w:rPr>
        <w:t xml:space="preserve">the </w:t>
      </w:r>
      <w:r w:rsidR="00D35F5E">
        <w:t xml:space="preserve">KOSPI 200 overnight returns after the closing at t-1, and </w:t>
      </w:r>
      <m:oMath>
        <m:sSub>
          <m:sSubPr>
            <m:ctrlPr>
              <w:rPr>
                <w:rFonts w:ascii="Cambria Math" w:hAnsi="Cambria Math"/>
              </w:rPr>
            </m:ctrlPr>
          </m:sSubPr>
          <m:e>
            <m:r>
              <m:rPr>
                <m:sty m:val="p"/>
              </m:rPr>
              <w:rPr>
                <w:rFonts w:ascii="Cambria Math"/>
              </w:rPr>
              <m:t>r</m:t>
            </m:r>
          </m:e>
          <m:sub>
            <m:r>
              <m:rPr>
                <m:sty m:val="p"/>
              </m:rPr>
              <w:rPr>
                <w:rFonts w:ascii="Cambria Math"/>
              </w:rPr>
              <m:t>S,t,15:15</m:t>
            </m:r>
          </m:sub>
        </m:sSub>
      </m:oMath>
      <w:r w:rsidR="00D35F5E">
        <w:t xml:space="preserve"> and </w:t>
      </w:r>
      <m:oMath>
        <m:sSub>
          <m:sSubPr>
            <m:ctrlPr>
              <w:rPr>
                <w:rFonts w:ascii="Cambria Math" w:hAnsi="Cambria Math"/>
              </w:rPr>
            </m:ctrlPr>
          </m:sSubPr>
          <m:e>
            <m:r>
              <m:rPr>
                <m:sty m:val="p"/>
              </m:rPr>
              <w:rPr>
                <w:rFonts w:ascii="Cambria Math"/>
              </w:rPr>
              <m:t>r</m:t>
            </m:r>
          </m:e>
          <m:sub>
            <m:r>
              <m:rPr>
                <m:sty m:val="p"/>
              </m:rPr>
              <w:rPr>
                <w:rFonts w:ascii="Cambria Math"/>
              </w:rPr>
              <m:t>F,t,15:15</m:t>
            </m:r>
          </m:sub>
        </m:sSub>
      </m:oMath>
      <w:r w:rsidR="00D35F5E">
        <w:t>are</w:t>
      </w:r>
      <w:r w:rsidR="001366D6">
        <w:rPr>
          <w:rFonts w:hint="eastAsia"/>
        </w:rPr>
        <w:t xml:space="preserve"> the</w:t>
      </w:r>
      <w:r w:rsidR="00D35F5E">
        <w:t xml:space="preserve"> KOSPI daily returns after the closing at t-1. The daytime returns </w:t>
      </w:r>
      <m:oMath>
        <m:sSub>
          <m:sSubPr>
            <m:ctrlPr>
              <w:rPr>
                <w:rFonts w:ascii="Cambria Math" w:hAnsi="Cambria Math"/>
                <w:sz w:val="18"/>
                <w:szCs w:val="18"/>
              </w:rPr>
            </m:ctrlPr>
          </m:sSubPr>
          <m:e>
            <m:r>
              <m:rPr>
                <m:sty m:val="p"/>
              </m:rPr>
              <w:rPr>
                <w:rFonts w:ascii="Cambria Math"/>
                <w:sz w:val="18"/>
                <w:szCs w:val="18"/>
              </w:rPr>
              <m:t>r</m:t>
            </m:r>
          </m:e>
          <m:sub>
            <m:r>
              <m:rPr>
                <m:sty m:val="p"/>
              </m:rPr>
              <w:rPr>
                <w:rFonts w:ascii="Cambria Math"/>
                <w:sz w:val="18"/>
                <w:szCs w:val="18"/>
              </w:rPr>
              <m:t>S,t,day</m:t>
            </m:r>
          </m:sub>
        </m:sSub>
      </m:oMath>
      <w:r w:rsidR="00D35F5E">
        <w:t xml:space="preserve"> and </w:t>
      </w:r>
      <m:oMath>
        <m:sSub>
          <m:sSubPr>
            <m:ctrlPr>
              <w:rPr>
                <w:rFonts w:ascii="Cambria Math" w:hAnsi="Cambria Math"/>
                <w:sz w:val="18"/>
                <w:szCs w:val="18"/>
              </w:rPr>
            </m:ctrlPr>
          </m:sSubPr>
          <m:e>
            <m:r>
              <m:rPr>
                <m:sty m:val="p"/>
              </m:rPr>
              <w:rPr>
                <w:rFonts w:ascii="Cambria Math"/>
                <w:sz w:val="18"/>
                <w:szCs w:val="18"/>
              </w:rPr>
              <m:t>r</m:t>
            </m:r>
          </m:e>
          <m:sub>
            <m:r>
              <m:rPr>
                <m:sty m:val="p"/>
              </m:rPr>
              <w:rPr>
                <w:rFonts w:ascii="Cambria Math"/>
                <w:sz w:val="18"/>
                <w:szCs w:val="18"/>
              </w:rPr>
              <m:t>F,t,day</m:t>
            </m:r>
          </m:sub>
        </m:sSub>
      </m:oMath>
      <w:r w:rsidR="00D35F5E">
        <w:t>are defined as follow</w:t>
      </w:r>
      <w:r w:rsidR="001366D6">
        <w:rPr>
          <w:rFonts w:hint="eastAsia"/>
        </w:rPr>
        <w:t>s</w:t>
      </w:r>
      <w:r w:rsidR="00D35F5E">
        <w:t>.</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S,t,day</m:t>
            </m:r>
          </m:sub>
        </m:sSub>
        <m:r>
          <m:rPr>
            <m:sty m:val="p"/>
          </m:rPr>
          <w:rPr>
            <w:rFonts w:ascii="Cambria Math"/>
          </w:rPr>
          <m:t>=</m:t>
        </m:r>
        <m:func>
          <m:funcPr>
            <m:ctrlPr>
              <w:rPr>
                <w:rFonts w:ascii="Cambria Math" w:hAnsi="Cambria Math" w:cs="Cambria Math"/>
              </w:rPr>
            </m:ctrlPr>
          </m:funcPr>
          <m:fName>
            <m:r>
              <m:rPr>
                <m:sty m:val="p"/>
              </m:rPr>
              <w:rPr>
                <w:rFonts w:ascii="Cambria Math"/>
              </w:rPr>
              <m:t>ln</m:t>
            </m:r>
            <m:ctrlPr>
              <w:rPr>
                <w:rFonts w:ascii="Cambria Math" w:hAnsi="Cambria Math"/>
              </w:rPr>
            </m:ctrlPr>
          </m:fName>
          <m:e>
            <m:d>
              <m:dPr>
                <m:ctrlPr>
                  <w:rPr>
                    <w:rFonts w:ascii="Cambria Math" w:hAnsi="Cambria Math"/>
                  </w:rPr>
                </m:ctrlPr>
              </m:dPr>
              <m:e>
                <m:sSub>
                  <m:sSubPr>
                    <m:ctrlPr>
                      <w:rPr>
                        <w:rFonts w:ascii="Cambria Math" w:hAnsi="Cambria Math"/>
                      </w:rPr>
                    </m:ctrlPr>
                  </m:sSubPr>
                  <m:e>
                    <m:r>
                      <m:rPr>
                        <m:sty m:val="p"/>
                      </m:rPr>
                      <w:rPr>
                        <w:rFonts w:ascii="Cambria Math"/>
                      </w:rPr>
                      <m:t>P</m:t>
                    </m:r>
                  </m:e>
                  <m:sub>
                    <m:r>
                      <m:rPr>
                        <m:sty m:val="p"/>
                      </m:rPr>
                      <w:rPr>
                        <w:rFonts w:ascii="Cambria Math"/>
                      </w:rPr>
                      <m:t>S,t,15:15</m:t>
                    </m:r>
                  </m:sub>
                </m:sSub>
                <m:r>
                  <m:rPr>
                    <m:lit/>
                    <m:sty m:val="p"/>
                  </m:rPr>
                  <w:rPr>
                    <w:rFonts w:ascii="Cambria Math"/>
                  </w:rPr>
                  <m:t>/</m:t>
                </m:r>
                <m:sSub>
                  <m:sSubPr>
                    <m:ctrlPr>
                      <w:rPr>
                        <w:rFonts w:ascii="Cambria Math" w:hAnsi="Cambria Math"/>
                      </w:rPr>
                    </m:ctrlPr>
                  </m:sSubPr>
                  <m:e>
                    <m:r>
                      <m:rPr>
                        <m:sty m:val="p"/>
                      </m:rPr>
                      <w:rPr>
                        <w:rFonts w:ascii="Cambria Math"/>
                      </w:rPr>
                      <m:t>P</m:t>
                    </m:r>
                  </m:e>
                  <m:sub>
                    <m:r>
                      <m:rPr>
                        <m:sty m:val="p"/>
                      </m:rPr>
                      <w:rPr>
                        <w:rFonts w:ascii="Cambria Math"/>
                      </w:rPr>
                      <m:t>S,t,9:00</m:t>
                    </m:r>
                  </m:sub>
                </m:sSub>
              </m:e>
            </m:d>
          </m:e>
        </m:func>
        <m:r>
          <m:rPr>
            <m:sty m:val="p"/>
          </m:rPr>
          <w:rPr>
            <w:rFonts w:ascii="Cambria Math"/>
          </w:rPr>
          <m:t>×</m:t>
        </m:r>
        <m:r>
          <m:rPr>
            <m:sty m:val="p"/>
          </m:rPr>
          <w:rPr>
            <w:rFonts w:ascii="Cambria Math"/>
          </w:rPr>
          <m:t>100</m:t>
        </m:r>
      </m:oMath>
      <w:r w:rsidR="00D35F5E">
        <w:t xml:space="preserve">                                (4)</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F,t,day</m:t>
            </m:r>
          </m:sub>
        </m:sSub>
        <m:r>
          <m:rPr>
            <m:sty m:val="p"/>
          </m:rPr>
          <w:rPr>
            <w:rFonts w:ascii="Cambria Math"/>
          </w:rPr>
          <m:t>=</m:t>
        </m:r>
        <m:func>
          <m:funcPr>
            <m:ctrlPr>
              <w:rPr>
                <w:rFonts w:ascii="Cambria Math" w:hAnsi="Cambria Math" w:cs="Cambria Math"/>
              </w:rPr>
            </m:ctrlPr>
          </m:funcPr>
          <m:fName>
            <m:r>
              <m:rPr>
                <m:sty m:val="p"/>
              </m:rPr>
              <w:rPr>
                <w:rFonts w:ascii="Cambria Math"/>
              </w:rPr>
              <m:t>ln</m:t>
            </m:r>
            <m:ctrlPr>
              <w:rPr>
                <w:rFonts w:ascii="Cambria Math" w:hAnsi="Cambria Math"/>
              </w:rPr>
            </m:ctrlPr>
          </m:fName>
          <m:e>
            <m:d>
              <m:dPr>
                <m:ctrlPr>
                  <w:rPr>
                    <w:rFonts w:ascii="Cambria Math" w:hAnsi="Cambria Math"/>
                  </w:rPr>
                </m:ctrlPr>
              </m:dPr>
              <m:e>
                <m:sSub>
                  <m:sSubPr>
                    <m:ctrlPr>
                      <w:rPr>
                        <w:rFonts w:ascii="Cambria Math" w:hAnsi="Cambria Math"/>
                      </w:rPr>
                    </m:ctrlPr>
                  </m:sSubPr>
                  <m:e>
                    <m:r>
                      <m:rPr>
                        <m:sty m:val="p"/>
                      </m:rPr>
                      <w:rPr>
                        <w:rFonts w:ascii="Cambria Math"/>
                      </w:rPr>
                      <m:t>P</m:t>
                    </m:r>
                  </m:e>
                  <m:sub>
                    <m:r>
                      <m:rPr>
                        <m:sty m:val="p"/>
                      </m:rPr>
                      <w:rPr>
                        <w:rFonts w:ascii="Cambria Math"/>
                      </w:rPr>
                      <m:t>F,t,15:15</m:t>
                    </m:r>
                  </m:sub>
                </m:sSub>
                <m:r>
                  <m:rPr>
                    <m:lit/>
                    <m:sty m:val="p"/>
                  </m:rPr>
                  <w:rPr>
                    <w:rFonts w:ascii="Cambria Math"/>
                  </w:rPr>
                  <m:t>/</m:t>
                </m:r>
                <m:sSub>
                  <m:sSubPr>
                    <m:ctrlPr>
                      <w:rPr>
                        <w:rFonts w:ascii="Cambria Math" w:hAnsi="Cambria Math"/>
                      </w:rPr>
                    </m:ctrlPr>
                  </m:sSubPr>
                  <m:e>
                    <m:r>
                      <m:rPr>
                        <m:sty m:val="p"/>
                      </m:rPr>
                      <w:rPr>
                        <w:rFonts w:ascii="Cambria Math"/>
                      </w:rPr>
                      <m:t>P</m:t>
                    </m:r>
                  </m:e>
                  <m:sub>
                    <m:r>
                      <m:rPr>
                        <m:sty m:val="p"/>
                      </m:rPr>
                      <w:rPr>
                        <w:rFonts w:ascii="Cambria Math"/>
                      </w:rPr>
                      <m:t>F,t,9:00</m:t>
                    </m:r>
                  </m:sub>
                </m:sSub>
              </m:e>
            </m:d>
          </m:e>
        </m:func>
        <m:r>
          <m:rPr>
            <m:sty m:val="p"/>
          </m:rPr>
          <w:rPr>
            <w:rFonts w:ascii="Cambria Math"/>
          </w:rPr>
          <m:t>×</m:t>
        </m:r>
        <m:r>
          <m:rPr>
            <m:sty m:val="p"/>
          </m:rPr>
          <w:rPr>
            <w:rFonts w:ascii="Cambria Math"/>
          </w:rPr>
          <m:t>100</m:t>
        </m:r>
      </m:oMath>
      <w:r w:rsidR="00D35F5E">
        <w:t xml:space="preserve">                                (5)</w:t>
      </w:r>
    </w:p>
    <w:p w:rsidR="00A44840" w:rsidRDefault="00A44840">
      <w:pPr>
        <w:pStyle w:val="ae"/>
      </w:pPr>
    </w:p>
    <w:p w:rsidR="00A44840" w:rsidRDefault="00D35F5E">
      <w:pPr>
        <w:pStyle w:val="a8"/>
      </w:pPr>
      <w:r>
        <w:t>&lt;Table 1&gt; summarizes the basic statistics on various returns of S&amp;P</w:t>
      </w:r>
      <w:r w:rsidR="00A0581C">
        <w:rPr>
          <w:rFonts w:hint="eastAsia"/>
        </w:rPr>
        <w:t xml:space="preserve"> </w:t>
      </w:r>
      <w:r>
        <w:t>500 and KOSPI 200 cash and futures. The sub</w:t>
      </w:r>
      <w:r w:rsidR="00A0581C">
        <w:rPr>
          <w:rFonts w:hint="eastAsia"/>
        </w:rPr>
        <w:t>-</w:t>
      </w:r>
      <w:r>
        <w:t>period before the financial crisis is from January 2001 to July 31</w:t>
      </w:r>
      <w:r w:rsidR="00A0581C">
        <w:rPr>
          <w:rFonts w:hint="eastAsia"/>
        </w:rPr>
        <w:t>,</w:t>
      </w:r>
      <w:r>
        <w:t xml:space="preserve"> 2007</w:t>
      </w:r>
      <w:r w:rsidR="00A0581C">
        <w:rPr>
          <w:rFonts w:hint="eastAsia"/>
        </w:rPr>
        <w:t xml:space="preserve"> </w:t>
      </w:r>
      <w:r>
        <w:t>(1,626days). The sub</w:t>
      </w:r>
      <w:r w:rsidR="00A0581C">
        <w:rPr>
          <w:rFonts w:hint="eastAsia"/>
        </w:rPr>
        <w:t>-</w:t>
      </w:r>
      <w:r>
        <w:t>period after the financial crisis is from August 1, 2007 to August 31, 2012</w:t>
      </w:r>
      <w:r w:rsidR="00A0581C">
        <w:rPr>
          <w:rFonts w:hint="eastAsia"/>
        </w:rPr>
        <w:t xml:space="preserve"> </w:t>
      </w:r>
      <w:r>
        <w:t>(1,265days)</w:t>
      </w:r>
      <w:r w:rsidR="00A0581C">
        <w:rPr>
          <w:rFonts w:hint="eastAsia"/>
        </w:rPr>
        <w:t>.</w:t>
      </w:r>
      <w:r>
        <w:rPr>
          <w:vertAlign w:val="superscript"/>
        </w:rPr>
        <w:footnoteReference w:id="6"/>
      </w:r>
      <w:r>
        <w:t xml:space="preserve">  </w:t>
      </w:r>
      <w:r w:rsidR="00A0581C">
        <w:rPr>
          <w:rFonts w:hint="eastAsia"/>
        </w:rPr>
        <w:t>The a</w:t>
      </w:r>
      <w:r w:rsidR="00A0581C">
        <w:t xml:space="preserve">verage </w:t>
      </w:r>
      <w:r>
        <w:t>S&amp;P</w:t>
      </w:r>
      <w:r w:rsidR="00A0581C">
        <w:rPr>
          <w:rFonts w:hint="eastAsia"/>
        </w:rPr>
        <w:t xml:space="preserve"> </w:t>
      </w:r>
      <w:r>
        <w:t xml:space="preserve">500 daily return is 0.0020%, </w:t>
      </w:r>
      <w:r w:rsidR="00A0581C">
        <w:rPr>
          <w:rFonts w:hint="eastAsia"/>
        </w:rPr>
        <w:t>which</w:t>
      </w:r>
      <w:r w:rsidR="00A0581C">
        <w:t xml:space="preserve"> </w:t>
      </w:r>
      <w:r>
        <w:t>is near 0 because S&amp;P</w:t>
      </w:r>
      <w:r w:rsidR="00A0581C">
        <w:rPr>
          <w:rFonts w:hint="eastAsia"/>
        </w:rPr>
        <w:t xml:space="preserve"> </w:t>
      </w:r>
      <w:r>
        <w:t>500 fluctuated around 1,350 point</w:t>
      </w:r>
      <w:r w:rsidR="00A0581C">
        <w:rPr>
          <w:rFonts w:hint="eastAsia"/>
        </w:rPr>
        <w:t>s</w:t>
      </w:r>
      <w:r>
        <w:t xml:space="preserve"> during the sampling period. </w:t>
      </w:r>
      <w:r w:rsidR="008A53B6">
        <w:rPr>
          <w:rFonts w:hint="eastAsia"/>
        </w:rPr>
        <w:t xml:space="preserve">Further, </w:t>
      </w:r>
      <w:r>
        <w:t>the U</w:t>
      </w:r>
      <w:r w:rsidR="008A53B6">
        <w:rPr>
          <w:rFonts w:hint="eastAsia"/>
        </w:rPr>
        <w:t>.</w:t>
      </w:r>
      <w:r>
        <w:t>S</w:t>
      </w:r>
      <w:r w:rsidR="008A53B6">
        <w:rPr>
          <w:rFonts w:hint="eastAsia"/>
        </w:rPr>
        <w:t>.</w:t>
      </w:r>
      <w:r>
        <w:t xml:space="preserve"> daily return volatility is 1.3724%, which is much smaller than the volatilities of KOSPI 200 cash and futures returns. </w:t>
      </w:r>
    </w:p>
    <w:p w:rsidR="00A44840" w:rsidRDefault="00D35F5E">
      <w:pPr>
        <w:pStyle w:val="a8"/>
      </w:pPr>
      <w:r>
        <w:t xml:space="preserve"> Overnight returns for KOSPI 200 cash and futures are 0.0625% and 0.0563%</w:t>
      </w:r>
      <w:r w:rsidR="008A53B6">
        <w:rPr>
          <w:rFonts w:hint="eastAsia"/>
        </w:rPr>
        <w:t>,</w:t>
      </w:r>
      <w:r>
        <w:t xml:space="preserve"> respectively, which are significantly greater than 0. </w:t>
      </w:r>
      <w:r w:rsidR="008A53B6">
        <w:rPr>
          <w:rFonts w:hint="eastAsia"/>
        </w:rPr>
        <w:t>However,</w:t>
      </w:r>
      <w:r w:rsidR="008A53B6">
        <w:t xml:space="preserve"> </w:t>
      </w:r>
      <w:r>
        <w:t xml:space="preserve">daytime returns for KOSPI 200 cash and futures are -0.0161% </w:t>
      </w:r>
      <w:r w:rsidR="008A53B6">
        <w:rPr>
          <w:rFonts w:hint="eastAsia"/>
        </w:rPr>
        <w:t>and</w:t>
      </w:r>
      <w:r w:rsidR="008A53B6">
        <w:t xml:space="preserve"> </w:t>
      </w:r>
      <w:r>
        <w:t>–</w:t>
      </w:r>
      <w:r>
        <w:t>0.0008%</w:t>
      </w:r>
      <w:r w:rsidR="008A53B6">
        <w:rPr>
          <w:rFonts w:hint="eastAsia"/>
        </w:rPr>
        <w:t>,</w:t>
      </w:r>
      <w:r>
        <w:t xml:space="preserve"> respectively, which are virtually equal to zero. This clearly </w:t>
      </w:r>
      <w:r w:rsidR="008A53B6">
        <w:rPr>
          <w:rFonts w:hint="eastAsia"/>
        </w:rPr>
        <w:t>indicated</w:t>
      </w:r>
      <w:r w:rsidR="008A53B6">
        <w:t xml:space="preserve"> </w:t>
      </w:r>
      <w:r>
        <w:t xml:space="preserve">that the daily return is determined </w:t>
      </w:r>
      <w:r w:rsidR="008A53B6">
        <w:rPr>
          <w:rFonts w:hint="eastAsia"/>
        </w:rPr>
        <w:t>primarily</w:t>
      </w:r>
      <w:r w:rsidR="008A53B6">
        <w:t xml:space="preserve"> </w:t>
      </w:r>
      <w:r>
        <w:t xml:space="preserve">by overnight returns, </w:t>
      </w:r>
      <w:r w:rsidR="008A53B6">
        <w:rPr>
          <w:rFonts w:hint="eastAsia"/>
        </w:rPr>
        <w:t>implying that</w:t>
      </w:r>
      <w:r>
        <w:t xml:space="preserve"> </w:t>
      </w:r>
      <w:r w:rsidR="003B7F16">
        <w:rPr>
          <w:rFonts w:hint="eastAsia"/>
        </w:rPr>
        <w:t xml:space="preserve">the </w:t>
      </w:r>
      <w:r w:rsidR="008A53B6">
        <w:rPr>
          <w:rFonts w:hint="eastAsia"/>
        </w:rPr>
        <w:t>news of the</w:t>
      </w:r>
      <w:r w:rsidR="008A53B6">
        <w:t xml:space="preserve"> </w:t>
      </w:r>
      <w:r>
        <w:t>U</w:t>
      </w:r>
      <w:r w:rsidR="008A53B6">
        <w:rPr>
          <w:rFonts w:hint="eastAsia"/>
        </w:rPr>
        <w:t>.</w:t>
      </w:r>
      <w:r>
        <w:t>S</w:t>
      </w:r>
      <w:r w:rsidR="008A53B6">
        <w:rPr>
          <w:rFonts w:hint="eastAsia"/>
        </w:rPr>
        <w:t>.</w:t>
      </w:r>
      <w:r>
        <w:t xml:space="preserve"> stock market has significant influence on the Korean stock market.  </w:t>
      </w:r>
    </w:p>
    <w:p w:rsidR="00A44840" w:rsidRDefault="00D35F5E">
      <w:pPr>
        <w:pStyle w:val="a8"/>
      </w:pPr>
      <w:r>
        <w:t xml:space="preserve">Second, </w:t>
      </w:r>
      <w:r w:rsidR="008E08AB">
        <w:rPr>
          <w:rFonts w:hint="eastAsia"/>
        </w:rPr>
        <w:t xml:space="preserve">the </w:t>
      </w:r>
      <w:r>
        <w:t xml:space="preserve">average daily return of the spot market is 0.0465%, which is a </w:t>
      </w:r>
      <w:r w:rsidR="008E08AB">
        <w:rPr>
          <w:rFonts w:hint="eastAsia"/>
        </w:rPr>
        <w:t xml:space="preserve">slightly </w:t>
      </w:r>
      <w:r>
        <w:t>smaller than</w:t>
      </w:r>
      <w:r w:rsidR="008E08AB">
        <w:rPr>
          <w:rFonts w:hint="eastAsia"/>
        </w:rPr>
        <w:t xml:space="preserve"> the</w:t>
      </w:r>
      <w:r>
        <w:t xml:space="preserve"> </w:t>
      </w:r>
      <w:r w:rsidR="008E08AB">
        <w:t>0.0555%</w:t>
      </w:r>
      <w:r w:rsidR="008E08AB">
        <w:rPr>
          <w:rFonts w:hint="eastAsia"/>
        </w:rPr>
        <w:t xml:space="preserve"> of the </w:t>
      </w:r>
      <w:r>
        <w:t>average daily return of the futures market. The difference is mainly due to the daytime return of the cash market</w:t>
      </w:r>
      <w:r w:rsidR="008E08AB">
        <w:rPr>
          <w:rFonts w:hint="eastAsia"/>
        </w:rPr>
        <w:t>, which</w:t>
      </w:r>
      <w:r>
        <w:t xml:space="preserve"> is smaller than the daytime return of the futures market. However, statistically speaking, the average daily</w:t>
      </w:r>
      <w:r w:rsidR="008E08AB">
        <w:rPr>
          <w:rFonts w:hint="eastAsia"/>
        </w:rPr>
        <w:t xml:space="preserve"> </w:t>
      </w:r>
      <w:r>
        <w:t xml:space="preserve">(overnight, daytime) returns for </w:t>
      </w:r>
      <w:r w:rsidR="008E08AB">
        <w:rPr>
          <w:rFonts w:hint="eastAsia"/>
        </w:rPr>
        <w:t xml:space="preserve">the </w:t>
      </w:r>
      <w:r>
        <w:t xml:space="preserve">two markets are </w:t>
      </w:r>
      <w:r w:rsidR="008E08AB">
        <w:rPr>
          <w:rFonts w:hint="eastAsia"/>
        </w:rPr>
        <w:t>nearly equal</w:t>
      </w:r>
      <w:r>
        <w:t>.</w:t>
      </w:r>
      <w:r>
        <w:rPr>
          <w:vertAlign w:val="superscript"/>
        </w:rPr>
        <w:footnoteReference w:id="7"/>
      </w:r>
      <w:r>
        <w:t xml:space="preserve"> </w:t>
      </w:r>
    </w:p>
    <w:p w:rsidR="00A44840" w:rsidRDefault="00D35F5E">
      <w:pPr>
        <w:pStyle w:val="a8"/>
      </w:pPr>
      <w:r>
        <w:t>Third, the price volatility in the futures market is much greater than that in the cash market.  Overnight return volatility for the futures market is greater than that for the cash market by 0.5625%</w:t>
      </w:r>
      <w:r w:rsidR="000E1DE7">
        <w:rPr>
          <w:rFonts w:hint="eastAsia"/>
        </w:rPr>
        <w:t>,</w:t>
      </w:r>
      <w:r>
        <w:t xml:space="preserve"> and the daily return volatility for the futures </w:t>
      </w:r>
      <w:r>
        <w:lastRenderedPageBreak/>
        <w:t xml:space="preserve">market is greater than that for the cash market by 0.5086%. </w:t>
      </w:r>
      <w:r w:rsidR="000E1DE7">
        <w:rPr>
          <w:rFonts w:hint="eastAsia"/>
        </w:rPr>
        <w:t>However, the</w:t>
      </w:r>
      <w:r w:rsidR="000E1DE7">
        <w:t xml:space="preserve"> </w:t>
      </w:r>
      <w:r>
        <w:t>daytime return is greater by 0.0934%. This may imply that the futures opening prices react more sensitively than the cash opening prices to new information.</w:t>
      </w:r>
    </w:p>
    <w:p w:rsidR="00A44840" w:rsidRDefault="004E4790">
      <w:r>
        <w:rPr>
          <w:noProof/>
        </w:rPr>
      </w:r>
      <w:r w:rsidR="003D65C8">
        <w:rPr>
          <w:noProof/>
        </w:rPr>
        <w:pict>
          <v:rect id="_x0000_s1103743518" o:spid="_x0000_s1038"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daZtQIAAK4FAAAOAAAAZHJzL2Uyb0RvYy54bWysVFFvmzAQfp+0/2D5nYIJSQCVVF0I06Ru&#10;q9TtuXLABGtgI9sN6ab9951NSJPuZdrmB+tsn+++u/vurm8OXYv2TGkuRYbJVYARE6WsuNhl+OuX&#10;wosx0oaKirZSsAw/M41vVm/fXA99ykLZyLZiCoERodOhz3BjTJ/6vi4b1lF9JXsm4LGWqqMGjmrn&#10;V4oOYL1r/TAIFv4gVdUrWTKt4TYfH/HK2a9rVprPda2ZQW2GAZtxu3L71u7+6pqmO0X7hpdHGPQv&#10;UHSUC3B6MpVTQ9GT4r+Z6nippJa1uSpl58u65iVzMUA0JHgVzUNDe+ZigeTo/pQm/f/Mlp/29wrx&#10;KsMhpEfQDmr0eAhgPWpCgtkyms1JbNM09DoF7Yf+XtlAdX8ny28aCbluqNixW6Xk0DBaAThi9f2L&#10;D/ag4SvaDh9lBU7ok5EuY4daddYg5AIdXGGeT4VhB4NKuFyQMFgu5hiV8EZmIQFUzgdNp++90uY9&#10;kx2yQoYVVN6Zp/s7bSwcmk4q1puQBW9bV/1WXFyA4ngDzuGrfbMwXDF/JEGyiTdx5EXhYuNFQZ57&#10;t8U68hYFWc7zWb5e5+Sn9UuitOFVxYR1MxGLRH9WuCPFR0qcqKVlyytrzkLSarddtwrtKRC7cOuY&#10;kDM1/xKGSwLE8iokEkbBuzDxikW89KIimnvJMoi9gCTvkkUQJVFeXIZ0xwX795DQkOFkHs5dlc5A&#10;v4rNUjFwfQqFuVDruIHR0fIuw/FJiaaWgxtRudIayttRPkuFhf+SCrA6Fdox1pJ0JLs5bA9jZ0z0&#10;38rqGSisJBAMugXGHgiNVN8xGmCEZFjAjMOo/SCgCey0mQQ1CdtJoKKEjxk2GI3i2oxT6alXfNeA&#10;XTImpr+FRim4o7BtohHDsb1gKLhIjgPMTp3zs9N6GbOrXwAAAP//AwBQSwMEFAAGAAgAAAAhAC8G&#10;4wHWAAAABQEAAA8AAABkcnMvZG93bnJldi54bWxMj81qwzAQhO+FvIPYQm+N1BxKcC2HUgikpZc4&#10;fQDFWv9QaddISuy8fZRSaC/LDrPMflNuZu/EGUMcmDQ8LRUIpIbtQJ2Gr8P2cQ0iJkPWOCbUcMEI&#10;m2pxV5rC8kR7PNepEzmEYmE09CmNhZSx6dGbuOQRKXstB29SlqGTNpgph3snV0o9S28Gyh96M+Jb&#10;j813ffIa5KHeTuvaBcUfq/bTve/2LbLWD/fz6wuIhHP6O4YbfkaHKjMd+UQ2CqchF0k/8+YpleXx&#10;d5FVKf/TV1cAAAD//wMAUEsBAi0AFAAGAAgAAAAhALaDOJL+AAAA4QEAABMAAAAAAAAAAAAAAAAA&#10;AAAAAFtDb250ZW50X1R5cGVzXS54bWxQSwECLQAUAAYACAAAACEAOP0h/9YAAACUAQAACwAAAAAA&#10;AAAAAAAAAAAvAQAAX3JlbHMvLnJlbHNQSwECLQAUAAYACAAAACEAXb3WmbUCAACuBQAADgAAAAAA&#10;AAAAAAAAAAAuAgAAZHJzL2Uyb0RvYy54bWxQSwECLQAUAAYACAAAACEALwbjAdYAAAAFAQAADwAA&#10;AAAAAAAAAAAAAAAPBQAAZHJzL2Rvd25yZXYueG1sUEsFBgAAAAAEAAQA8wAAABIGAAAAAA==&#10;" filled="f" stroked="f">
            <v:textbox style="mso-fit-shape-to-text:t" inset="0,0,0,0">
              <w:txbxContent>
                <w:p w:rsidR="006B03CF" w:rsidRDefault="006B03CF">
                  <w:pPr>
                    <w:pStyle w:val="af1"/>
                  </w:pPr>
                  <w:r>
                    <w:t xml:space="preserve">&lt;Table </w:t>
                  </w:r>
                  <w:r>
                    <w:fldChar w:fldCharType="begin"/>
                  </w:r>
                  <w:r>
                    <w:instrText>SEQ 표\* ARABIC\r 1</w:instrText>
                  </w:r>
                  <w:r>
                    <w:fldChar w:fldCharType="separate"/>
                  </w:r>
                  <w:r>
                    <w:rPr>
                      <w:noProof/>
                    </w:rPr>
                    <w:t>1</w:t>
                  </w:r>
                  <w:r>
                    <w:rPr>
                      <w:noProof/>
                    </w:rPr>
                    <w:fldChar w:fldCharType="end"/>
                  </w:r>
                  <w:r>
                    <w:t>&gt; Basic statistics for KOSPI</w:t>
                  </w:r>
                  <w:r>
                    <w:rPr>
                      <w:rFonts w:hint="eastAsia"/>
                    </w:rPr>
                    <w:t xml:space="preserve"> </w:t>
                  </w:r>
                  <w:r>
                    <w:t>200 and S&amp;P</w:t>
                  </w:r>
                  <w:r>
                    <w:rPr>
                      <w:rFonts w:hint="eastAsia"/>
                    </w:rPr>
                    <w:t xml:space="preserve"> </w:t>
                  </w:r>
                  <w:r>
                    <w:t>500 returns</w:t>
                  </w:r>
                </w:p>
                <w:p w:rsidR="006B03CF" w:rsidRDefault="006B03CF">
                  <w:pPr>
                    <w:pStyle w:val="a8"/>
                    <w:spacing w:line="240" w:lineRule="auto"/>
                    <w:ind w:firstLine="0"/>
                  </w:pPr>
                  <w:r>
                    <w:rPr>
                      <w:spacing w:val="5"/>
                      <w:sz w:val="18"/>
                      <w:szCs w:val="18"/>
                    </w:rPr>
                    <w:t>Total observation</w:t>
                  </w:r>
                  <w:r>
                    <w:rPr>
                      <w:rFonts w:hint="eastAsia"/>
                      <w:spacing w:val="5"/>
                      <w:sz w:val="18"/>
                      <w:szCs w:val="18"/>
                    </w:rPr>
                    <w:t>s</w:t>
                  </w:r>
                  <w:r>
                    <w:rPr>
                      <w:spacing w:val="5"/>
                      <w:sz w:val="18"/>
                      <w:szCs w:val="18"/>
                    </w:rPr>
                    <w:t xml:space="preserve"> are 2,891 days ranging from January 2, 2001 and August 31, 2012. The </w:t>
                  </w:r>
                  <w:r>
                    <w:rPr>
                      <w:rFonts w:hint="eastAsia"/>
                      <w:spacing w:val="5"/>
                      <w:sz w:val="18"/>
                      <w:szCs w:val="18"/>
                    </w:rPr>
                    <w:t xml:space="preserve">pre-crisis </w:t>
                  </w:r>
                  <w:r>
                    <w:rPr>
                      <w:spacing w:val="5"/>
                      <w:sz w:val="18"/>
                      <w:szCs w:val="18"/>
                    </w:rPr>
                    <w:t>sub</w:t>
                  </w:r>
                  <w:r>
                    <w:rPr>
                      <w:rFonts w:hint="eastAsia"/>
                      <w:spacing w:val="5"/>
                      <w:sz w:val="18"/>
                      <w:szCs w:val="18"/>
                    </w:rPr>
                    <w:t>-</w:t>
                  </w:r>
                  <w:r>
                    <w:rPr>
                      <w:spacing w:val="5"/>
                      <w:sz w:val="18"/>
                      <w:szCs w:val="18"/>
                    </w:rPr>
                    <w:t>period is from January 2, 2001 to July 31, 2012 for 1,626 days, and the</w:t>
                  </w:r>
                  <w:r>
                    <w:rPr>
                      <w:rFonts w:hint="eastAsia"/>
                      <w:spacing w:val="5"/>
                      <w:sz w:val="18"/>
                      <w:szCs w:val="18"/>
                    </w:rPr>
                    <w:t xml:space="preserve"> post-crisis</w:t>
                  </w:r>
                  <w:r>
                    <w:rPr>
                      <w:spacing w:val="5"/>
                      <w:sz w:val="18"/>
                      <w:szCs w:val="18"/>
                    </w:rPr>
                    <w:t xml:space="preserve"> sub</w:t>
                  </w:r>
                  <w:r>
                    <w:rPr>
                      <w:rFonts w:hint="eastAsia"/>
                      <w:spacing w:val="5"/>
                      <w:sz w:val="18"/>
                      <w:szCs w:val="18"/>
                    </w:rPr>
                    <w:t>-</w:t>
                  </w:r>
                  <w:r>
                    <w:rPr>
                      <w:spacing w:val="5"/>
                      <w:sz w:val="18"/>
                      <w:szCs w:val="18"/>
                    </w:rPr>
                    <w:t>period is from August 1, 2007 to August 31, 2012 for 1,265 days. The values in () are t-values. Excess kurtosis is the kurtosis minus normal distribution kurtosis 3. JB statistics are Jacque-</w:t>
                  </w:r>
                  <w:proofErr w:type="spellStart"/>
                  <w:r>
                    <w:rPr>
                      <w:spacing w:val="5"/>
                      <w:sz w:val="18"/>
                      <w:szCs w:val="18"/>
                    </w:rPr>
                    <w:t>Bera</w:t>
                  </w:r>
                  <w:proofErr w:type="spellEnd"/>
                  <w:r>
                    <w:rPr>
                      <w:spacing w:val="5"/>
                      <w:sz w:val="18"/>
                      <w:szCs w:val="18"/>
                    </w:rPr>
                    <w:t xml:space="preserve"> Normality statistics. * denotes</w:t>
                  </w:r>
                  <w:r>
                    <w:rPr>
                      <w:rFonts w:hint="eastAsia"/>
                      <w:spacing w:val="5"/>
                      <w:sz w:val="18"/>
                      <w:szCs w:val="18"/>
                    </w:rPr>
                    <w:t xml:space="preserve"> a</w:t>
                  </w:r>
                  <w:r>
                    <w:rPr>
                      <w:spacing w:val="5"/>
                      <w:sz w:val="18"/>
                      <w:szCs w:val="18"/>
                    </w:rPr>
                    <w:t xml:space="preserve"> 5% significance level,</w:t>
                  </w:r>
                  <w:r>
                    <w:rPr>
                      <w:rFonts w:hint="eastAsia"/>
                      <w:spacing w:val="5"/>
                      <w:sz w:val="18"/>
                      <w:szCs w:val="18"/>
                    </w:rPr>
                    <w:t xml:space="preserve"> and</w:t>
                  </w:r>
                  <w:r>
                    <w:rPr>
                      <w:spacing w:val="5"/>
                      <w:sz w:val="18"/>
                      <w:szCs w:val="18"/>
                    </w:rPr>
                    <w:t xml:space="preserve"> ** denotes </w:t>
                  </w:r>
                  <w:r>
                    <w:rPr>
                      <w:rFonts w:hint="eastAsia"/>
                      <w:spacing w:val="5"/>
                      <w:sz w:val="18"/>
                      <w:szCs w:val="18"/>
                    </w:rPr>
                    <w:t xml:space="preserve">a </w:t>
                  </w:r>
                  <w:r>
                    <w:rPr>
                      <w:spacing w:val="5"/>
                      <w:sz w:val="18"/>
                      <w:szCs w:val="18"/>
                    </w:rPr>
                    <w:t xml:space="preserve">1% significance level. S.D. is </w:t>
                  </w:r>
                  <w:r>
                    <w:rPr>
                      <w:rFonts w:hint="eastAsia"/>
                      <w:spacing w:val="5"/>
                      <w:sz w:val="18"/>
                      <w:szCs w:val="18"/>
                    </w:rPr>
                    <w:t xml:space="preserve">the </w:t>
                  </w:r>
                  <w:r>
                    <w:rPr>
                      <w:spacing w:val="5"/>
                      <w:sz w:val="18"/>
                      <w:szCs w:val="18"/>
                    </w:rPr>
                    <w:t xml:space="preserve">standard deviation. </w:t>
                  </w:r>
                  <m:oMath>
                    <m:sSub>
                      <m:sSubPr>
                        <m:ctrlPr>
                          <w:rPr>
                            <w:rFonts w:ascii="Cambria Math" w:hAnsi="Cambria Math"/>
                          </w:rPr>
                        </m:ctrlPr>
                      </m:sSubPr>
                      <m:e>
                        <m:r>
                          <m:rPr>
                            <m:sty m:val="p"/>
                          </m:rPr>
                          <w:rPr>
                            <w:rFonts w:ascii="Cambria Math"/>
                          </w:rPr>
                          <m:t>R</m:t>
                        </m:r>
                      </m:e>
                      <m:sub>
                        <m:r>
                          <m:rPr>
                            <m:sty m:val="p"/>
                          </m:rPr>
                          <w:rPr>
                            <w:rFonts w:ascii="Cambria Math"/>
                          </w:rPr>
                          <m:t>us</m:t>
                        </m:r>
                      </m:sub>
                    </m:sSub>
                  </m:oMath>
                  <w:r>
                    <w:rPr>
                      <w:spacing w:val="5"/>
                      <w:sz w:val="18"/>
                      <w:szCs w:val="18"/>
                    </w:rPr>
                    <w:t xml:space="preserve"> </w:t>
                  </w:r>
                  <w:proofErr w:type="gramStart"/>
                  <w:r>
                    <w:rPr>
                      <w:spacing w:val="5"/>
                      <w:sz w:val="18"/>
                      <w:szCs w:val="18"/>
                    </w:rPr>
                    <w:t>is</w:t>
                  </w:r>
                  <w:proofErr w:type="gramEnd"/>
                  <w:r>
                    <w:rPr>
                      <w:spacing w:val="5"/>
                      <w:sz w:val="18"/>
                      <w:szCs w:val="18"/>
                    </w:rPr>
                    <w:t xml:space="preserve"> the U</w:t>
                  </w:r>
                  <w:r>
                    <w:rPr>
                      <w:rFonts w:hint="eastAsia"/>
                      <w:spacing w:val="5"/>
                      <w:sz w:val="18"/>
                      <w:szCs w:val="18"/>
                    </w:rPr>
                    <w:t>.</w:t>
                  </w:r>
                  <w:r>
                    <w:rPr>
                      <w:spacing w:val="5"/>
                      <w:sz w:val="18"/>
                      <w:szCs w:val="18"/>
                    </w:rPr>
                    <w:t>S</w:t>
                  </w:r>
                  <w:r>
                    <w:rPr>
                      <w:rFonts w:hint="eastAsia"/>
                      <w:spacing w:val="5"/>
                      <w:sz w:val="18"/>
                      <w:szCs w:val="18"/>
                    </w:rPr>
                    <w:t>.</w:t>
                  </w:r>
                  <w:r>
                    <w:rPr>
                      <w:spacing w:val="5"/>
                      <w:sz w:val="18"/>
                      <w:szCs w:val="18"/>
                    </w:rPr>
                    <w:t xml:space="preserve"> daily return. </w:t>
                  </w:r>
                  <m:oMath>
                    <m:sSub>
                      <m:sSubPr>
                        <m:ctrlPr>
                          <w:rPr>
                            <w:rFonts w:ascii="Cambria Math" w:hAnsi="Cambria Math"/>
                          </w:rPr>
                        </m:ctrlPr>
                      </m:sSubPr>
                      <m:e>
                        <m:r>
                          <m:rPr>
                            <m:sty m:val="p"/>
                          </m:rPr>
                          <w:rPr>
                            <w:rFonts w:ascii="Cambria Math"/>
                          </w:rPr>
                          <m:t>R</m:t>
                        </m:r>
                      </m:e>
                      <m:sub>
                        <m:r>
                          <m:rPr>
                            <m:sty m:val="p"/>
                          </m:rPr>
                          <w:rPr>
                            <w:rFonts w:ascii="Cambria Math"/>
                          </w:rPr>
                          <m:t>S,9:00</m:t>
                        </m:r>
                      </m:sub>
                    </m:sSub>
                  </m:oMath>
                  <w:r>
                    <w:rPr>
                      <w:spacing w:val="5"/>
                      <w:sz w:val="18"/>
                      <w:szCs w:val="18"/>
                    </w:rPr>
                    <w:t xml:space="preserve"> </w:t>
                  </w:r>
                  <w:r>
                    <w:rPr>
                      <w:rFonts w:hint="eastAsia"/>
                      <w:spacing w:val="5"/>
                      <w:sz w:val="18"/>
                      <w:szCs w:val="18"/>
                    </w:rPr>
                    <w:t xml:space="preserve"> </w:t>
                  </w:r>
                  <w:proofErr w:type="gramStart"/>
                  <w:r>
                    <w:rPr>
                      <w:rFonts w:hint="eastAsia"/>
                      <w:spacing w:val="5"/>
                      <w:sz w:val="18"/>
                      <w:szCs w:val="18"/>
                    </w:rPr>
                    <w:t>and</w:t>
                  </w:r>
                  <w:proofErr w:type="gramEnd"/>
                  <w:r>
                    <w:rPr>
                      <w:spacing w:val="5"/>
                      <w:sz w:val="18"/>
                      <w:szCs w:val="18"/>
                    </w:rPr>
                    <w:t xml:space="preserve"> </w:t>
                  </w:r>
                  <m:oMath>
                    <m:sSub>
                      <m:sSubPr>
                        <m:ctrlPr>
                          <w:rPr>
                            <w:rFonts w:ascii="Cambria Math" w:hAnsi="Cambria Math"/>
                          </w:rPr>
                        </m:ctrlPr>
                      </m:sSubPr>
                      <m:e>
                        <m:r>
                          <m:rPr>
                            <m:sty m:val="p"/>
                          </m:rPr>
                          <w:rPr>
                            <w:rFonts w:ascii="Cambria Math"/>
                          </w:rPr>
                          <m:t>r</m:t>
                        </m:r>
                      </m:e>
                      <m:sub>
                        <m:r>
                          <m:rPr>
                            <m:sty m:val="p"/>
                          </m:rPr>
                          <w:rPr>
                            <w:rFonts w:ascii="Cambria Math"/>
                          </w:rPr>
                          <m:t>F,9:00</m:t>
                        </m:r>
                      </m:sub>
                    </m:sSub>
                  </m:oMath>
                  <w:r>
                    <w:rPr>
                      <w:spacing w:val="5"/>
                      <w:sz w:val="18"/>
                      <w:szCs w:val="18"/>
                    </w:rPr>
                    <w:t xml:space="preserve">are overnight returns. </w:t>
                  </w:r>
                  <m:oMath>
                    <m:sSub>
                      <m:sSubPr>
                        <m:ctrlPr>
                          <w:rPr>
                            <w:rFonts w:ascii="Cambria Math" w:hAnsi="Cambria Math"/>
                          </w:rPr>
                        </m:ctrlPr>
                      </m:sSubPr>
                      <m:e>
                        <m:r>
                          <m:rPr>
                            <m:sty m:val="p"/>
                          </m:rPr>
                          <w:rPr>
                            <w:rFonts w:ascii="Cambria Math"/>
                          </w:rPr>
                          <m:t>R</m:t>
                        </m:r>
                      </m:e>
                      <m:sub>
                        <m:r>
                          <m:rPr>
                            <m:sty m:val="p"/>
                          </m:rPr>
                          <w:rPr>
                            <w:rFonts w:ascii="Cambria Math"/>
                          </w:rPr>
                          <m:t>S,day</m:t>
                        </m:r>
                      </m:sub>
                    </m:sSub>
                  </m:oMath>
                  <w:r>
                    <w:rPr>
                      <w:spacing w:val="5"/>
                      <w:sz w:val="18"/>
                      <w:szCs w:val="18"/>
                    </w:rPr>
                    <w:t xml:space="preserve"> </w:t>
                  </w:r>
                  <w:proofErr w:type="gramStart"/>
                  <w:r>
                    <w:rPr>
                      <w:rFonts w:hint="eastAsia"/>
                      <w:spacing w:val="5"/>
                      <w:sz w:val="18"/>
                      <w:szCs w:val="18"/>
                    </w:rPr>
                    <w:t>and</w:t>
                  </w:r>
                  <w:proofErr w:type="gramEnd"/>
                  <w:r>
                    <w:rPr>
                      <w:spacing w:val="5"/>
                      <w:sz w:val="18"/>
                      <w:szCs w:val="18"/>
                    </w:rPr>
                    <w:t xml:space="preserve"> </w:t>
                  </w:r>
                  <m:oMath>
                    <m:sSub>
                      <m:sSubPr>
                        <m:ctrlPr>
                          <w:rPr>
                            <w:rFonts w:ascii="Cambria Math" w:hAnsi="Cambria Math"/>
                          </w:rPr>
                        </m:ctrlPr>
                      </m:sSubPr>
                      <m:e>
                        <m:r>
                          <m:rPr>
                            <m:sty m:val="p"/>
                          </m:rPr>
                          <w:rPr>
                            <w:rFonts w:ascii="Cambria Math"/>
                          </w:rPr>
                          <m:t>r</m:t>
                        </m:r>
                      </m:e>
                      <m:sub>
                        <m:r>
                          <m:rPr>
                            <m:sty m:val="p"/>
                          </m:rPr>
                          <w:rPr>
                            <w:rFonts w:ascii="Cambria Math"/>
                          </w:rPr>
                          <m:t>F,day</m:t>
                        </m:r>
                      </m:sub>
                    </m:sSub>
                  </m:oMath>
                  <w:r>
                    <w:rPr>
                      <w:spacing w:val="5"/>
                      <w:sz w:val="18"/>
                      <w:szCs w:val="18"/>
                    </w:rPr>
                    <w:t xml:space="preserve"> are daytime returns.  </w:t>
                  </w:r>
                  <m:oMath>
                    <m:sSub>
                      <m:sSubPr>
                        <m:ctrlPr>
                          <w:rPr>
                            <w:rFonts w:ascii="Cambria Math" w:hAnsi="Cambria Math"/>
                          </w:rPr>
                        </m:ctrlPr>
                      </m:sSubPr>
                      <m:e>
                        <m:r>
                          <m:rPr>
                            <m:sty m:val="p"/>
                          </m:rPr>
                          <w:rPr>
                            <w:rFonts w:ascii="Cambria Math"/>
                          </w:rPr>
                          <m:t>R</m:t>
                        </m:r>
                      </m:e>
                      <m:sub>
                        <m:r>
                          <m:rPr>
                            <m:sty m:val="p"/>
                          </m:rPr>
                          <w:rPr>
                            <w:rFonts w:ascii="Cambria Math"/>
                          </w:rPr>
                          <m:t>S,15:00</m:t>
                        </m:r>
                      </m:sub>
                    </m:sSub>
                  </m:oMath>
                  <w:r>
                    <w:rPr>
                      <w:spacing w:val="5"/>
                      <w:sz w:val="18"/>
                      <w:szCs w:val="18"/>
                    </w:rPr>
                    <w:t xml:space="preserve"> </w:t>
                  </w:r>
                  <w:proofErr w:type="gramStart"/>
                  <w:r>
                    <w:rPr>
                      <w:rFonts w:hint="eastAsia"/>
                      <w:spacing w:val="5"/>
                      <w:sz w:val="18"/>
                      <w:szCs w:val="18"/>
                    </w:rPr>
                    <w:t>and</w:t>
                  </w:r>
                  <w:proofErr w:type="gramEnd"/>
                  <w:r>
                    <w:rPr>
                      <w:spacing w:val="5"/>
                      <w:sz w:val="18"/>
                      <w:szCs w:val="18"/>
                    </w:rPr>
                    <w:t xml:space="preserve"> </w:t>
                  </w:r>
                  <m:oMath>
                    <m:sSub>
                      <m:sSubPr>
                        <m:ctrlPr>
                          <w:rPr>
                            <w:rFonts w:ascii="Cambria Math" w:hAnsi="Cambria Math"/>
                          </w:rPr>
                        </m:ctrlPr>
                      </m:sSubPr>
                      <m:e>
                        <m:r>
                          <m:rPr>
                            <m:sty m:val="p"/>
                          </m:rPr>
                          <w:rPr>
                            <w:rFonts w:ascii="Cambria Math"/>
                          </w:rPr>
                          <m:t>r</m:t>
                        </m:r>
                      </m:e>
                      <m:sub>
                        <m:r>
                          <m:rPr>
                            <m:sty m:val="p"/>
                          </m:rPr>
                          <w:rPr>
                            <w:rFonts w:ascii="Cambria Math"/>
                          </w:rPr>
                          <m:t>F,15:15</m:t>
                        </m:r>
                      </m:sub>
                    </m:sSub>
                  </m:oMath>
                  <w:r>
                    <w:rPr>
                      <w:spacing w:val="5"/>
                      <w:sz w:val="18"/>
                      <w:szCs w:val="18"/>
                    </w:rPr>
                    <w:t xml:space="preserve">  are daily returns.</w:t>
                  </w:r>
                </w:p>
              </w:txbxContent>
            </v:textbox>
            <w10:wrap type="none"/>
            <w10:anchorlock/>
          </v:rect>
        </w:pict>
      </w:r>
    </w:p>
    <w:tbl>
      <w:tblPr>
        <w:tblW w:w="0" w:type="auto"/>
        <w:jc w:val="center"/>
        <w:tblInd w:w="-496" w:type="dxa"/>
        <w:tblBorders>
          <w:top w:val="single" w:sz="2" w:space="0" w:color="000000"/>
          <w:left w:val="single" w:sz="2" w:space="0" w:color="000000"/>
          <w:bottom w:val="single" w:sz="2" w:space="0" w:color="000000"/>
          <w:right w:val="single" w:sz="2" w:space="0" w:color="000000"/>
        </w:tblBorders>
        <w:tblLayout w:type="fixed"/>
        <w:tblCellMar>
          <w:top w:w="28" w:type="dxa"/>
          <w:left w:w="102" w:type="dxa"/>
          <w:bottom w:w="28" w:type="dxa"/>
          <w:right w:w="102" w:type="dxa"/>
        </w:tblCellMar>
        <w:tblLook w:val="04A0" w:firstRow="1" w:lastRow="0" w:firstColumn="1" w:lastColumn="0" w:noHBand="0" w:noVBand="1"/>
      </w:tblPr>
      <w:tblGrid>
        <w:gridCol w:w="1595"/>
        <w:gridCol w:w="992"/>
        <w:gridCol w:w="993"/>
        <w:gridCol w:w="992"/>
        <w:gridCol w:w="1134"/>
        <w:gridCol w:w="1134"/>
        <w:gridCol w:w="1134"/>
        <w:gridCol w:w="1169"/>
      </w:tblGrid>
      <w:tr w:rsidR="00A44840" w:rsidTr="006B03CF">
        <w:trPr>
          <w:trHeight w:val="439"/>
          <w:jc w:val="center"/>
        </w:trPr>
        <w:tc>
          <w:tcPr>
            <w:tcW w:w="1595" w:type="dxa"/>
            <w:tcBorders>
              <w:top w:val="single" w:sz="2" w:space="0" w:color="000000"/>
              <w:left w:val="nil"/>
              <w:bottom w:val="single" w:sz="2" w:space="0" w:color="000000"/>
              <w:right w:val="single" w:sz="2" w:space="0" w:color="000000"/>
              <w:tl2br w:val="nil"/>
              <w:tr2bl w:val="nil"/>
            </w:tcBorders>
            <w:vAlign w:val="center"/>
          </w:tcPr>
          <w:p w:rsidR="00A44840" w:rsidRDefault="00A44840">
            <w:pPr>
              <w:pStyle w:val="af0"/>
              <w:rPr>
                <w:sz w:val="20"/>
                <w:szCs w:val="20"/>
              </w:rPr>
            </w:pPr>
          </w:p>
        </w:tc>
        <w:tc>
          <w:tcPr>
            <w:tcW w:w="992" w:type="dxa"/>
            <w:tcBorders>
              <w:top w:val="single" w:sz="2" w:space="0" w:color="000000"/>
              <w:left w:val="single" w:sz="2" w:space="0" w:color="000000"/>
              <w:bottom w:val="single" w:sz="2" w:space="0" w:color="000000"/>
              <w:right w:val="double" w:sz="11"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us</m:t>
                    </m:r>
                  </m:sub>
                </m:sSub>
              </m:oMath>
            </m:oMathPara>
          </w:p>
        </w:tc>
        <w:tc>
          <w:tcPr>
            <w:tcW w:w="993" w:type="dxa"/>
            <w:tcBorders>
              <w:top w:val="single" w:sz="2" w:space="0" w:color="000000"/>
              <w:left w:val="double" w:sz="11" w:space="0" w:color="000000"/>
              <w:bottom w:val="single" w:sz="2" w:space="0" w:color="000000"/>
              <w:right w:val="single" w:sz="2"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S,9:00</m:t>
                    </m:r>
                  </m:sub>
                </m:sSub>
              </m:oMath>
            </m:oMathPara>
          </w:p>
        </w:tc>
        <w:tc>
          <w:tcPr>
            <w:tcW w:w="992" w:type="dxa"/>
            <w:tcBorders>
              <w:top w:val="single" w:sz="2" w:space="0" w:color="000000"/>
              <w:left w:val="single" w:sz="2" w:space="0" w:color="000000"/>
              <w:bottom w:val="single" w:sz="2" w:space="0" w:color="000000"/>
              <w:right w:val="single" w:sz="2"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S,day</m:t>
                    </m:r>
                  </m:sub>
                </m:sSub>
              </m:oMath>
            </m:oMathPara>
          </w:p>
        </w:tc>
        <w:tc>
          <w:tcPr>
            <w:tcW w:w="1134" w:type="dxa"/>
            <w:tcBorders>
              <w:top w:val="single" w:sz="2" w:space="0" w:color="000000"/>
              <w:left w:val="single" w:sz="2" w:space="0" w:color="000000"/>
              <w:bottom w:val="single" w:sz="2" w:space="0" w:color="000000"/>
              <w:right w:val="double" w:sz="11"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S,15:00</m:t>
                    </m:r>
                  </m:sub>
                </m:sSub>
              </m:oMath>
            </m:oMathPara>
          </w:p>
        </w:tc>
        <w:tc>
          <w:tcPr>
            <w:tcW w:w="1134" w:type="dxa"/>
            <w:tcBorders>
              <w:top w:val="single" w:sz="2" w:space="0" w:color="000000"/>
              <w:left w:val="double" w:sz="11" w:space="0" w:color="000000"/>
              <w:bottom w:val="single" w:sz="2" w:space="0" w:color="000000"/>
              <w:right w:val="single" w:sz="2"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F,9:00</m:t>
                    </m:r>
                  </m:sub>
                </m:sSub>
              </m:oMath>
            </m:oMathPara>
          </w:p>
        </w:tc>
        <w:tc>
          <w:tcPr>
            <w:tcW w:w="1134" w:type="dxa"/>
            <w:tcBorders>
              <w:top w:val="single" w:sz="2" w:space="0" w:color="000000"/>
              <w:left w:val="single" w:sz="2" w:space="0" w:color="000000"/>
              <w:bottom w:val="single" w:sz="2" w:space="0" w:color="000000"/>
              <w:right w:val="single" w:sz="2" w:space="0" w:color="000000"/>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F,day</m:t>
                    </m:r>
                  </m:sub>
                </m:sSub>
              </m:oMath>
            </m:oMathPara>
          </w:p>
        </w:tc>
        <w:tc>
          <w:tcPr>
            <w:tcW w:w="1169" w:type="dxa"/>
            <w:tcBorders>
              <w:top w:val="single" w:sz="2" w:space="0" w:color="000000"/>
              <w:left w:val="single" w:sz="2" w:space="0" w:color="000000"/>
              <w:bottom w:val="single" w:sz="2" w:space="0" w:color="000000"/>
              <w:right w:val="nil"/>
              <w:tl2br w:val="nil"/>
              <w:tr2bl w:val="nil"/>
            </w:tcBorders>
            <w:vAlign w:val="center"/>
          </w:tcPr>
          <w:p w:rsidR="00A44840" w:rsidRDefault="004E4790">
            <w:pPr>
              <w:pStyle w:val="af0"/>
              <w:rPr>
                <w:sz w:val="20"/>
                <w:szCs w:val="20"/>
              </w:rPr>
            </w:pPr>
            <m:oMathPara>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F,15:15</m:t>
                    </m:r>
                  </m:sub>
                </m:sSub>
              </m:oMath>
            </m:oMathPara>
          </w:p>
        </w:tc>
      </w:tr>
      <w:tr w:rsidR="00A44840" w:rsidTr="006B03CF">
        <w:trPr>
          <w:trHeight w:val="333"/>
          <w:jc w:val="center"/>
        </w:trPr>
        <w:tc>
          <w:tcPr>
            <w:tcW w:w="1595" w:type="dxa"/>
            <w:tcBorders>
              <w:top w:val="single" w:sz="2" w:space="0" w:color="000000"/>
              <w:left w:val="nil"/>
              <w:bottom w:val="nil"/>
              <w:right w:val="single" w:sz="2" w:space="0" w:color="000000"/>
              <w:tl2br w:val="nil"/>
              <w:tr2bl w:val="nil"/>
            </w:tcBorders>
            <w:vAlign w:val="center"/>
          </w:tcPr>
          <w:p w:rsidR="00A44840" w:rsidRDefault="00D35F5E">
            <w:pPr>
              <w:pStyle w:val="af0"/>
              <w:rPr>
                <w:b/>
                <w:bCs/>
                <w:sz w:val="20"/>
                <w:szCs w:val="20"/>
              </w:rPr>
            </w:pPr>
            <w:r>
              <w:rPr>
                <w:b/>
                <w:bCs/>
                <w:sz w:val="20"/>
                <w:szCs w:val="20"/>
              </w:rPr>
              <w:t>Total period</w:t>
            </w:r>
          </w:p>
        </w:tc>
        <w:tc>
          <w:tcPr>
            <w:tcW w:w="992"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993"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992"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69" w:type="dxa"/>
            <w:tcBorders>
              <w:top w:val="single" w:sz="2" w:space="0" w:color="000000"/>
              <w:left w:val="single" w:sz="2" w:space="0" w:color="000000"/>
              <w:bottom w:val="nil"/>
              <w:right w:val="nil"/>
              <w:tl2br w:val="nil"/>
              <w:tr2bl w:val="nil"/>
            </w:tcBorders>
            <w:vAlign w:val="center"/>
          </w:tcPr>
          <w:p w:rsidR="00A44840" w:rsidRDefault="00A44840">
            <w:pPr>
              <w:pStyle w:val="af0"/>
              <w:rPr>
                <w:sz w:val="20"/>
                <w:szCs w:val="20"/>
              </w:rPr>
            </w:pPr>
          </w:p>
        </w:tc>
      </w:tr>
      <w:tr w:rsidR="00A44840" w:rsidTr="006B03CF">
        <w:trPr>
          <w:trHeight w:val="496"/>
          <w:jc w:val="center"/>
        </w:trPr>
        <w:tc>
          <w:tcPr>
            <w:tcW w:w="1595" w:type="dxa"/>
            <w:tcBorders>
              <w:top w:val="nil"/>
              <w:left w:val="nil"/>
              <w:bottom w:val="nil"/>
              <w:right w:val="single" w:sz="2" w:space="0" w:color="000000"/>
              <w:tl2br w:val="nil"/>
              <w:tr2bl w:val="nil"/>
            </w:tcBorders>
            <w:vAlign w:val="center"/>
          </w:tcPr>
          <w:p w:rsidR="00A44840" w:rsidRDefault="00D35F5E">
            <w:pPr>
              <w:pStyle w:val="af0"/>
              <w:rPr>
                <w:sz w:val="20"/>
                <w:szCs w:val="20"/>
              </w:rPr>
            </w:pPr>
            <w:r>
              <w:rPr>
                <w:sz w:val="20"/>
                <w:szCs w:val="20"/>
              </w:rPr>
              <w:t>Average</w:t>
            </w:r>
            <w:r w:rsidR="005C09F1">
              <w:rPr>
                <w:rFonts w:hint="eastAsia"/>
                <w:sz w:val="20"/>
                <w:szCs w:val="20"/>
              </w:rPr>
              <w:t xml:space="preserve"> </w:t>
            </w:r>
            <w:r>
              <w:rPr>
                <w:sz w:val="20"/>
                <w:szCs w:val="20"/>
              </w:rPr>
              <w:t>(%)</w:t>
            </w:r>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0.0020</w:t>
            </w:r>
          </w:p>
          <w:p w:rsidR="00A44840" w:rsidRDefault="00D35F5E">
            <w:pPr>
              <w:pStyle w:val="af0"/>
              <w:rPr>
                <w:sz w:val="20"/>
                <w:szCs w:val="20"/>
              </w:rPr>
            </w:pPr>
            <w:r>
              <w:rPr>
                <w:sz w:val="20"/>
                <w:szCs w:val="20"/>
              </w:rPr>
              <w:t>(0.08)</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0.0625</w:t>
            </w:r>
          </w:p>
          <w:p w:rsidR="00A44840" w:rsidRDefault="00D35F5E">
            <w:pPr>
              <w:pStyle w:val="af0"/>
              <w:rPr>
                <w:sz w:val="20"/>
                <w:szCs w:val="20"/>
              </w:rPr>
            </w:pPr>
            <w:r>
              <w:rPr>
                <w:sz w:val="20"/>
                <w:szCs w:val="20"/>
              </w:rPr>
              <w:t>(2.88)**</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-0.0161</w:t>
            </w:r>
          </w:p>
          <w:p w:rsidR="00A44840" w:rsidRDefault="00D35F5E">
            <w:pPr>
              <w:pStyle w:val="af0"/>
              <w:rPr>
                <w:sz w:val="20"/>
                <w:szCs w:val="20"/>
              </w:rPr>
            </w:pPr>
            <w:r>
              <w:rPr>
                <w:sz w:val="20"/>
                <w:szCs w:val="20"/>
              </w:rPr>
              <w:t>(-0.66)</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0.0465</w:t>
            </w:r>
          </w:p>
          <w:p w:rsidR="00A44840" w:rsidRDefault="00D35F5E">
            <w:pPr>
              <w:pStyle w:val="af0"/>
              <w:rPr>
                <w:sz w:val="20"/>
                <w:szCs w:val="20"/>
              </w:rPr>
            </w:pPr>
            <w:r>
              <w:rPr>
                <w:sz w:val="20"/>
                <w:szCs w:val="20"/>
              </w:rPr>
              <w:t>(1.47)</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0.0563</w:t>
            </w:r>
          </w:p>
          <w:p w:rsidR="00A44840" w:rsidRDefault="00D35F5E">
            <w:pPr>
              <w:pStyle w:val="af0"/>
              <w:rPr>
                <w:sz w:val="20"/>
                <w:szCs w:val="20"/>
              </w:rPr>
            </w:pPr>
            <w:r>
              <w:rPr>
                <w:sz w:val="20"/>
                <w:szCs w:val="20"/>
              </w:rPr>
              <w:t>(1.75)</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-0.0008</w:t>
            </w:r>
          </w:p>
          <w:p w:rsidR="00A44840" w:rsidRDefault="00D35F5E">
            <w:pPr>
              <w:pStyle w:val="af0"/>
              <w:rPr>
                <w:sz w:val="20"/>
                <w:szCs w:val="20"/>
              </w:rPr>
            </w:pPr>
            <w:r>
              <w:rPr>
                <w:sz w:val="20"/>
                <w:szCs w:val="20"/>
              </w:rPr>
              <w:t>(-0.03)</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0.0555</w:t>
            </w:r>
          </w:p>
          <w:p w:rsidR="00A44840" w:rsidRDefault="00D35F5E">
            <w:pPr>
              <w:pStyle w:val="af0"/>
              <w:rPr>
                <w:sz w:val="20"/>
                <w:szCs w:val="20"/>
              </w:rPr>
            </w:pPr>
            <w:r>
              <w:rPr>
                <w:sz w:val="20"/>
                <w:szCs w:val="20"/>
              </w:rPr>
              <w:t>(1.35)</w:t>
            </w:r>
          </w:p>
        </w:tc>
      </w:tr>
      <w:tr w:rsidR="00A44840" w:rsidTr="006B03CF">
        <w:trPr>
          <w:trHeight w:val="428"/>
          <w:jc w:val="center"/>
        </w:trPr>
        <w:tc>
          <w:tcPr>
            <w:tcW w:w="1595" w:type="dxa"/>
            <w:tcBorders>
              <w:top w:val="nil"/>
              <w:left w:val="nil"/>
              <w:bottom w:val="nil"/>
              <w:right w:val="single" w:sz="2" w:space="0" w:color="000000"/>
              <w:tl2br w:val="nil"/>
              <w:tr2bl w:val="nil"/>
            </w:tcBorders>
            <w:vAlign w:val="center"/>
          </w:tcPr>
          <w:p w:rsidR="00A44840" w:rsidRDefault="00D35F5E">
            <w:pPr>
              <w:pStyle w:val="af0"/>
              <w:rPr>
                <w:sz w:val="20"/>
                <w:szCs w:val="20"/>
              </w:rPr>
            </w:pPr>
            <w:r>
              <w:rPr>
                <w:sz w:val="20"/>
                <w:szCs w:val="20"/>
              </w:rPr>
              <w:t>S.D.</w:t>
            </w:r>
            <w:r w:rsidR="005C09F1">
              <w:rPr>
                <w:rFonts w:hint="eastAsia"/>
                <w:sz w:val="20"/>
                <w:szCs w:val="20"/>
              </w:rPr>
              <w:t xml:space="preserve"> </w:t>
            </w:r>
            <w:r>
              <w:rPr>
                <w:sz w:val="20"/>
                <w:szCs w:val="20"/>
              </w:rPr>
              <w:t>(%)</w:t>
            </w:r>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1.3724</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1.1684</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1.3026</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1.7024</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1.7309</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1.3960</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2.2110</w:t>
            </w:r>
          </w:p>
        </w:tc>
      </w:tr>
      <w:tr w:rsidR="00A44840" w:rsidTr="006B03CF">
        <w:trPr>
          <w:trHeight w:val="428"/>
          <w:jc w:val="center"/>
        </w:trPr>
        <w:tc>
          <w:tcPr>
            <w:tcW w:w="1595" w:type="dxa"/>
            <w:tcBorders>
              <w:top w:val="nil"/>
              <w:left w:val="nil"/>
              <w:bottom w:val="nil"/>
              <w:right w:val="single" w:sz="2" w:space="0" w:color="000000"/>
              <w:tl2br w:val="nil"/>
              <w:tr2bl w:val="nil"/>
            </w:tcBorders>
            <w:vAlign w:val="center"/>
          </w:tcPr>
          <w:p w:rsidR="00A44840" w:rsidRDefault="00D35F5E">
            <w:pPr>
              <w:pStyle w:val="af0"/>
              <w:rPr>
                <w:sz w:val="20"/>
                <w:szCs w:val="20"/>
              </w:rPr>
            </w:pPr>
            <w:proofErr w:type="spellStart"/>
            <w:r>
              <w:rPr>
                <w:sz w:val="20"/>
                <w:szCs w:val="20"/>
              </w:rPr>
              <w:t>Skewness</w:t>
            </w:r>
            <w:proofErr w:type="spellEnd"/>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-0.16**</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-0.67**</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-0.17**</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-0.44**</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3.28**</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-0.16*</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1.33**</w:t>
            </w:r>
          </w:p>
        </w:tc>
      </w:tr>
      <w:tr w:rsidR="00A44840" w:rsidTr="006B03CF">
        <w:trPr>
          <w:trHeight w:val="428"/>
          <w:jc w:val="center"/>
        </w:trPr>
        <w:tc>
          <w:tcPr>
            <w:tcW w:w="1595" w:type="dxa"/>
            <w:tcBorders>
              <w:top w:val="nil"/>
              <w:left w:val="nil"/>
              <w:bottom w:val="nil"/>
              <w:right w:val="single" w:sz="2" w:space="0" w:color="000000"/>
              <w:tl2br w:val="nil"/>
              <w:tr2bl w:val="nil"/>
            </w:tcBorders>
            <w:vAlign w:val="center"/>
          </w:tcPr>
          <w:p w:rsidR="00A44840" w:rsidRDefault="00D35F5E">
            <w:pPr>
              <w:pStyle w:val="af0"/>
              <w:rPr>
                <w:sz w:val="20"/>
                <w:szCs w:val="20"/>
              </w:rPr>
            </w:pPr>
            <w:r>
              <w:rPr>
                <w:sz w:val="20"/>
                <w:szCs w:val="20"/>
              </w:rPr>
              <w:t>Excess Kurtosis</w:t>
            </w:r>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7.79**</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8.27**</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5.70**</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5.06**</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240.41**</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5.28**</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94.33**</w:t>
            </w:r>
          </w:p>
        </w:tc>
      </w:tr>
      <w:tr w:rsidR="00A44840" w:rsidTr="006B03CF">
        <w:trPr>
          <w:trHeight w:val="428"/>
          <w:jc w:val="center"/>
        </w:trPr>
        <w:tc>
          <w:tcPr>
            <w:tcW w:w="1595" w:type="dxa"/>
            <w:tcBorders>
              <w:top w:val="nil"/>
              <w:left w:val="nil"/>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JB statistics</w:t>
            </w:r>
          </w:p>
        </w:tc>
        <w:tc>
          <w:tcPr>
            <w:tcW w:w="992"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7,325**</w:t>
            </w:r>
          </w:p>
        </w:tc>
        <w:tc>
          <w:tcPr>
            <w:tcW w:w="993"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8,457**</w:t>
            </w:r>
          </w:p>
        </w:tc>
        <w:tc>
          <w:tcPr>
            <w:tcW w:w="992"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3,922**</w:t>
            </w:r>
          </w:p>
        </w:tc>
        <w:tc>
          <w:tcPr>
            <w:tcW w:w="1134"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3,178**</w:t>
            </w:r>
          </w:p>
        </w:tc>
        <w:tc>
          <w:tcPr>
            <w:tcW w:w="1134"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6,967,070**</w:t>
            </w:r>
          </w:p>
        </w:tc>
        <w:tc>
          <w:tcPr>
            <w:tcW w:w="1134"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3,376**</w:t>
            </w:r>
          </w:p>
        </w:tc>
        <w:tc>
          <w:tcPr>
            <w:tcW w:w="1169" w:type="dxa"/>
            <w:tcBorders>
              <w:top w:val="nil"/>
              <w:left w:val="single" w:sz="2" w:space="0" w:color="000000"/>
              <w:bottom w:val="single" w:sz="2" w:space="0" w:color="000000"/>
              <w:right w:val="nil"/>
              <w:tl2br w:val="nil"/>
              <w:tr2bl w:val="nil"/>
            </w:tcBorders>
            <w:vAlign w:val="center"/>
          </w:tcPr>
          <w:p w:rsidR="00A44840" w:rsidRDefault="00D35F5E">
            <w:pPr>
              <w:pStyle w:val="af0"/>
              <w:rPr>
                <w:sz w:val="20"/>
                <w:szCs w:val="20"/>
              </w:rPr>
            </w:pPr>
            <w:r>
              <w:rPr>
                <w:sz w:val="20"/>
                <w:szCs w:val="20"/>
              </w:rPr>
              <w:t>1,072,817**</w:t>
            </w:r>
          </w:p>
        </w:tc>
      </w:tr>
      <w:tr w:rsidR="00A44840" w:rsidTr="006B03CF">
        <w:trPr>
          <w:trHeight w:val="357"/>
          <w:jc w:val="center"/>
        </w:trPr>
        <w:tc>
          <w:tcPr>
            <w:tcW w:w="1595" w:type="dxa"/>
            <w:tcBorders>
              <w:top w:val="single" w:sz="2" w:space="0" w:color="000000"/>
              <w:left w:val="nil"/>
              <w:bottom w:val="nil"/>
              <w:right w:val="single" w:sz="2" w:space="0" w:color="000000"/>
              <w:tl2br w:val="nil"/>
              <w:tr2bl w:val="nil"/>
            </w:tcBorders>
            <w:vAlign w:val="center"/>
          </w:tcPr>
          <w:p w:rsidR="00A44840" w:rsidRDefault="009279C9" w:rsidP="009279C9">
            <w:pPr>
              <w:pStyle w:val="af0"/>
              <w:rPr>
                <w:b/>
                <w:bCs/>
                <w:sz w:val="20"/>
                <w:szCs w:val="20"/>
              </w:rPr>
            </w:pPr>
            <w:r>
              <w:rPr>
                <w:rFonts w:hint="eastAsia"/>
                <w:b/>
                <w:bCs/>
                <w:sz w:val="20"/>
                <w:szCs w:val="20"/>
              </w:rPr>
              <w:t>Pre-</w:t>
            </w:r>
            <w:r>
              <w:rPr>
                <w:b/>
                <w:bCs/>
                <w:sz w:val="20"/>
                <w:szCs w:val="20"/>
              </w:rPr>
              <w:t xml:space="preserve"> </w:t>
            </w:r>
            <w:r>
              <w:rPr>
                <w:rFonts w:hint="eastAsia"/>
                <w:b/>
                <w:bCs/>
                <w:sz w:val="20"/>
                <w:szCs w:val="20"/>
              </w:rPr>
              <w:t>c</w:t>
            </w:r>
            <w:r>
              <w:rPr>
                <w:b/>
                <w:bCs/>
                <w:sz w:val="20"/>
                <w:szCs w:val="20"/>
              </w:rPr>
              <w:t>risis</w:t>
            </w:r>
          </w:p>
        </w:tc>
        <w:tc>
          <w:tcPr>
            <w:tcW w:w="992"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993"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992"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69" w:type="dxa"/>
            <w:tcBorders>
              <w:top w:val="single" w:sz="2" w:space="0" w:color="000000"/>
              <w:left w:val="single" w:sz="2" w:space="0" w:color="000000"/>
              <w:bottom w:val="nil"/>
              <w:right w:val="nil"/>
              <w:tl2br w:val="nil"/>
              <w:tr2bl w:val="nil"/>
            </w:tcBorders>
            <w:vAlign w:val="center"/>
          </w:tcPr>
          <w:p w:rsidR="00A44840" w:rsidRDefault="00A44840">
            <w:pPr>
              <w:pStyle w:val="af0"/>
              <w:rPr>
                <w:sz w:val="20"/>
                <w:szCs w:val="20"/>
              </w:rPr>
            </w:pPr>
          </w:p>
        </w:tc>
      </w:tr>
      <w:tr w:rsidR="00A44840" w:rsidTr="006B03CF">
        <w:trPr>
          <w:trHeight w:val="516"/>
          <w:jc w:val="center"/>
        </w:trPr>
        <w:tc>
          <w:tcPr>
            <w:tcW w:w="1595" w:type="dxa"/>
            <w:tcBorders>
              <w:top w:val="nil"/>
              <w:left w:val="nil"/>
              <w:bottom w:val="nil"/>
              <w:right w:val="single" w:sz="2" w:space="0" w:color="000000"/>
              <w:tl2br w:val="nil"/>
              <w:tr2bl w:val="nil"/>
            </w:tcBorders>
            <w:vAlign w:val="center"/>
          </w:tcPr>
          <w:p w:rsidR="00A44840" w:rsidRDefault="00E52E8A">
            <w:pPr>
              <w:pStyle w:val="af0"/>
              <w:rPr>
                <w:sz w:val="20"/>
                <w:szCs w:val="20"/>
              </w:rPr>
            </w:pPr>
            <w:r>
              <w:rPr>
                <w:sz w:val="20"/>
                <w:szCs w:val="20"/>
              </w:rPr>
              <w:t>A</w:t>
            </w:r>
            <w:r w:rsidR="00D35F5E">
              <w:rPr>
                <w:sz w:val="20"/>
                <w:szCs w:val="20"/>
              </w:rPr>
              <w:t>verage</w:t>
            </w:r>
            <w:r>
              <w:rPr>
                <w:rFonts w:hint="eastAsia"/>
                <w:sz w:val="20"/>
                <w:szCs w:val="20"/>
              </w:rPr>
              <w:t xml:space="preserve"> </w:t>
            </w:r>
            <w:r w:rsidR="00D35F5E">
              <w:rPr>
                <w:sz w:val="20"/>
                <w:szCs w:val="20"/>
              </w:rPr>
              <w:t>(%)</w:t>
            </w:r>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0.0068</w:t>
            </w:r>
          </w:p>
          <w:p w:rsidR="00A44840" w:rsidRDefault="00D35F5E">
            <w:pPr>
              <w:pStyle w:val="af0"/>
              <w:rPr>
                <w:sz w:val="20"/>
                <w:szCs w:val="20"/>
              </w:rPr>
            </w:pPr>
            <w:r>
              <w:rPr>
                <w:sz w:val="20"/>
                <w:szCs w:val="20"/>
              </w:rPr>
              <w:t>(0.26)</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0.0725</w:t>
            </w:r>
          </w:p>
          <w:p w:rsidR="00A44840" w:rsidRDefault="00D35F5E">
            <w:pPr>
              <w:pStyle w:val="af0"/>
              <w:rPr>
                <w:sz w:val="20"/>
                <w:szCs w:val="20"/>
              </w:rPr>
            </w:pPr>
            <w:r>
              <w:rPr>
                <w:sz w:val="20"/>
                <w:szCs w:val="20"/>
              </w:rPr>
              <w:t>(2.64)*</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0.0086</w:t>
            </w:r>
          </w:p>
          <w:p w:rsidR="00A44840" w:rsidRDefault="00D35F5E">
            <w:pPr>
              <w:pStyle w:val="af0"/>
              <w:rPr>
                <w:sz w:val="20"/>
                <w:szCs w:val="20"/>
              </w:rPr>
            </w:pPr>
            <w:r>
              <w:rPr>
                <w:sz w:val="20"/>
                <w:szCs w:val="20"/>
              </w:rPr>
              <w:t>(0.26)</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0.0810</w:t>
            </w:r>
          </w:p>
          <w:p w:rsidR="00A44840" w:rsidRDefault="00D35F5E">
            <w:pPr>
              <w:pStyle w:val="af0"/>
              <w:rPr>
                <w:sz w:val="20"/>
                <w:szCs w:val="20"/>
              </w:rPr>
            </w:pPr>
            <w:r>
              <w:rPr>
                <w:sz w:val="20"/>
                <w:szCs w:val="20"/>
              </w:rPr>
              <w:t>(1.94)</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0.0586</w:t>
            </w:r>
          </w:p>
          <w:p w:rsidR="00A44840" w:rsidRDefault="00D35F5E">
            <w:pPr>
              <w:pStyle w:val="af0"/>
              <w:rPr>
                <w:sz w:val="20"/>
                <w:szCs w:val="20"/>
              </w:rPr>
            </w:pPr>
            <w:r>
              <w:rPr>
                <w:sz w:val="20"/>
                <w:szCs w:val="20"/>
              </w:rPr>
              <w:t>(1.91)</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0.0253</w:t>
            </w:r>
          </w:p>
          <w:p w:rsidR="00A44840" w:rsidRDefault="00D35F5E">
            <w:pPr>
              <w:pStyle w:val="af0"/>
              <w:rPr>
                <w:sz w:val="20"/>
                <w:szCs w:val="20"/>
              </w:rPr>
            </w:pPr>
            <w:r>
              <w:rPr>
                <w:sz w:val="20"/>
                <w:szCs w:val="20"/>
              </w:rPr>
              <w:t>(0.71)</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0.0839</w:t>
            </w:r>
          </w:p>
          <w:p w:rsidR="00A44840" w:rsidRDefault="00D35F5E">
            <w:pPr>
              <w:pStyle w:val="af0"/>
              <w:rPr>
                <w:sz w:val="20"/>
                <w:szCs w:val="20"/>
              </w:rPr>
            </w:pPr>
            <w:r>
              <w:rPr>
                <w:sz w:val="20"/>
                <w:szCs w:val="20"/>
              </w:rPr>
              <w:t>(1.83)</w:t>
            </w:r>
          </w:p>
        </w:tc>
      </w:tr>
      <w:tr w:rsidR="00A44840" w:rsidTr="006B03CF">
        <w:trPr>
          <w:trHeight w:val="414"/>
          <w:jc w:val="center"/>
        </w:trPr>
        <w:tc>
          <w:tcPr>
            <w:tcW w:w="1595" w:type="dxa"/>
            <w:tcBorders>
              <w:top w:val="nil"/>
              <w:left w:val="nil"/>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S.D.</w:t>
            </w:r>
            <w:r w:rsidR="00E52E8A">
              <w:rPr>
                <w:rFonts w:hint="eastAsia"/>
                <w:sz w:val="20"/>
                <w:szCs w:val="20"/>
              </w:rPr>
              <w:t xml:space="preserve"> </w:t>
            </w:r>
            <w:r>
              <w:rPr>
                <w:sz w:val="20"/>
                <w:szCs w:val="20"/>
              </w:rPr>
              <w:t>(%)</w:t>
            </w:r>
          </w:p>
        </w:tc>
        <w:tc>
          <w:tcPr>
            <w:tcW w:w="992"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1.0684</w:t>
            </w:r>
          </w:p>
        </w:tc>
        <w:tc>
          <w:tcPr>
            <w:tcW w:w="993"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1.1080</w:t>
            </w:r>
          </w:p>
        </w:tc>
        <w:tc>
          <w:tcPr>
            <w:tcW w:w="992"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1.3060</w:t>
            </w:r>
          </w:p>
        </w:tc>
        <w:tc>
          <w:tcPr>
            <w:tcW w:w="1134"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1.6827</w:t>
            </w:r>
          </w:p>
        </w:tc>
        <w:tc>
          <w:tcPr>
            <w:tcW w:w="1134"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1.2395</w:t>
            </w:r>
          </w:p>
        </w:tc>
        <w:tc>
          <w:tcPr>
            <w:tcW w:w="1134"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1.4387</w:t>
            </w:r>
          </w:p>
        </w:tc>
        <w:tc>
          <w:tcPr>
            <w:tcW w:w="1169" w:type="dxa"/>
            <w:tcBorders>
              <w:top w:val="nil"/>
              <w:left w:val="single" w:sz="2" w:space="0" w:color="000000"/>
              <w:bottom w:val="single" w:sz="2" w:space="0" w:color="000000"/>
              <w:right w:val="nil"/>
              <w:tl2br w:val="nil"/>
              <w:tr2bl w:val="nil"/>
            </w:tcBorders>
            <w:vAlign w:val="center"/>
          </w:tcPr>
          <w:p w:rsidR="00A44840" w:rsidRDefault="00D35F5E">
            <w:pPr>
              <w:pStyle w:val="af0"/>
              <w:rPr>
                <w:sz w:val="20"/>
                <w:szCs w:val="20"/>
              </w:rPr>
            </w:pPr>
            <w:r>
              <w:rPr>
                <w:sz w:val="20"/>
                <w:szCs w:val="20"/>
              </w:rPr>
              <w:t>1.8452</w:t>
            </w:r>
          </w:p>
        </w:tc>
      </w:tr>
      <w:tr w:rsidR="00A44840" w:rsidTr="006B03CF">
        <w:trPr>
          <w:trHeight w:val="357"/>
          <w:jc w:val="center"/>
        </w:trPr>
        <w:tc>
          <w:tcPr>
            <w:tcW w:w="1595" w:type="dxa"/>
            <w:tcBorders>
              <w:top w:val="single" w:sz="2" w:space="0" w:color="000000"/>
              <w:left w:val="nil"/>
              <w:bottom w:val="nil"/>
              <w:right w:val="single" w:sz="2" w:space="0" w:color="000000"/>
              <w:tl2br w:val="nil"/>
              <w:tr2bl w:val="nil"/>
            </w:tcBorders>
            <w:vAlign w:val="center"/>
          </w:tcPr>
          <w:p w:rsidR="00A44840" w:rsidRDefault="009279C9" w:rsidP="009279C9">
            <w:pPr>
              <w:pStyle w:val="af0"/>
              <w:rPr>
                <w:b/>
                <w:bCs/>
                <w:sz w:val="20"/>
                <w:szCs w:val="20"/>
              </w:rPr>
            </w:pPr>
            <w:r>
              <w:rPr>
                <w:rFonts w:hint="eastAsia"/>
                <w:b/>
                <w:bCs/>
                <w:sz w:val="20"/>
                <w:szCs w:val="20"/>
              </w:rPr>
              <w:t>Post-c</w:t>
            </w:r>
            <w:r>
              <w:rPr>
                <w:b/>
                <w:bCs/>
                <w:sz w:val="20"/>
                <w:szCs w:val="20"/>
              </w:rPr>
              <w:t>risis</w:t>
            </w:r>
          </w:p>
        </w:tc>
        <w:tc>
          <w:tcPr>
            <w:tcW w:w="992"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993"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992"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double" w:sz="11"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double" w:sz="11" w:space="0" w:color="000000"/>
              <w:bottom w:val="nil"/>
              <w:right w:val="single" w:sz="2" w:space="0" w:color="000000"/>
              <w:tl2br w:val="nil"/>
              <w:tr2bl w:val="nil"/>
            </w:tcBorders>
            <w:vAlign w:val="center"/>
          </w:tcPr>
          <w:p w:rsidR="00A44840" w:rsidRDefault="00A44840">
            <w:pPr>
              <w:pStyle w:val="af0"/>
              <w:rPr>
                <w:sz w:val="20"/>
                <w:szCs w:val="20"/>
              </w:rPr>
            </w:pPr>
          </w:p>
        </w:tc>
        <w:tc>
          <w:tcPr>
            <w:tcW w:w="1134" w:type="dxa"/>
            <w:tcBorders>
              <w:top w:val="single" w:sz="2" w:space="0" w:color="000000"/>
              <w:left w:val="single" w:sz="2" w:space="0" w:color="000000"/>
              <w:bottom w:val="nil"/>
              <w:right w:val="single" w:sz="2" w:space="0" w:color="000000"/>
              <w:tl2br w:val="nil"/>
              <w:tr2bl w:val="nil"/>
            </w:tcBorders>
            <w:vAlign w:val="center"/>
          </w:tcPr>
          <w:p w:rsidR="00A44840" w:rsidRDefault="00A44840">
            <w:pPr>
              <w:pStyle w:val="af0"/>
              <w:rPr>
                <w:sz w:val="20"/>
                <w:szCs w:val="20"/>
              </w:rPr>
            </w:pPr>
          </w:p>
        </w:tc>
        <w:tc>
          <w:tcPr>
            <w:tcW w:w="1169" w:type="dxa"/>
            <w:tcBorders>
              <w:top w:val="single" w:sz="2" w:space="0" w:color="000000"/>
              <w:left w:val="single" w:sz="2" w:space="0" w:color="000000"/>
              <w:bottom w:val="nil"/>
              <w:right w:val="nil"/>
              <w:tl2br w:val="nil"/>
              <w:tr2bl w:val="nil"/>
            </w:tcBorders>
            <w:vAlign w:val="center"/>
          </w:tcPr>
          <w:p w:rsidR="00A44840" w:rsidRDefault="00A44840">
            <w:pPr>
              <w:pStyle w:val="af0"/>
              <w:rPr>
                <w:sz w:val="20"/>
                <w:szCs w:val="20"/>
              </w:rPr>
            </w:pPr>
          </w:p>
        </w:tc>
      </w:tr>
      <w:tr w:rsidR="00A44840" w:rsidTr="006B03CF">
        <w:trPr>
          <w:trHeight w:val="516"/>
          <w:jc w:val="center"/>
        </w:trPr>
        <w:tc>
          <w:tcPr>
            <w:tcW w:w="1595" w:type="dxa"/>
            <w:tcBorders>
              <w:top w:val="nil"/>
              <w:left w:val="nil"/>
              <w:bottom w:val="nil"/>
              <w:right w:val="single" w:sz="2" w:space="0" w:color="000000"/>
              <w:tl2br w:val="nil"/>
              <w:tr2bl w:val="nil"/>
            </w:tcBorders>
            <w:vAlign w:val="center"/>
          </w:tcPr>
          <w:p w:rsidR="00A44840" w:rsidRDefault="00D35F5E">
            <w:pPr>
              <w:pStyle w:val="af0"/>
              <w:rPr>
                <w:sz w:val="20"/>
                <w:szCs w:val="20"/>
              </w:rPr>
            </w:pPr>
            <w:r>
              <w:rPr>
                <w:sz w:val="20"/>
                <w:szCs w:val="20"/>
              </w:rPr>
              <w:t>Average</w:t>
            </w:r>
            <w:r w:rsidR="00E52E8A">
              <w:rPr>
                <w:rFonts w:hint="eastAsia"/>
                <w:sz w:val="20"/>
                <w:szCs w:val="20"/>
              </w:rPr>
              <w:t xml:space="preserve"> </w:t>
            </w:r>
            <w:r>
              <w:rPr>
                <w:sz w:val="20"/>
                <w:szCs w:val="20"/>
              </w:rPr>
              <w:t>(%)</w:t>
            </w:r>
          </w:p>
        </w:tc>
        <w:tc>
          <w:tcPr>
            <w:tcW w:w="992"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-0.0041</w:t>
            </w:r>
          </w:p>
          <w:p w:rsidR="00A44840" w:rsidRDefault="00D35F5E">
            <w:pPr>
              <w:pStyle w:val="af0"/>
              <w:rPr>
                <w:sz w:val="20"/>
                <w:szCs w:val="20"/>
              </w:rPr>
            </w:pPr>
            <w:r>
              <w:rPr>
                <w:sz w:val="20"/>
                <w:szCs w:val="20"/>
              </w:rPr>
              <w:t>(-0.09)</w:t>
            </w:r>
          </w:p>
        </w:tc>
        <w:tc>
          <w:tcPr>
            <w:tcW w:w="993"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0.0498</w:t>
            </w:r>
          </w:p>
          <w:p w:rsidR="00A44840" w:rsidRDefault="00D35F5E">
            <w:pPr>
              <w:pStyle w:val="af0"/>
              <w:rPr>
                <w:sz w:val="20"/>
                <w:szCs w:val="20"/>
              </w:rPr>
            </w:pPr>
            <w:r>
              <w:rPr>
                <w:sz w:val="20"/>
                <w:szCs w:val="20"/>
              </w:rPr>
              <w:t>(1.42)</w:t>
            </w:r>
          </w:p>
        </w:tc>
        <w:tc>
          <w:tcPr>
            <w:tcW w:w="992"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-0.0477</w:t>
            </w:r>
          </w:p>
          <w:p w:rsidR="00A44840" w:rsidRDefault="00D35F5E">
            <w:pPr>
              <w:pStyle w:val="af0"/>
              <w:rPr>
                <w:sz w:val="20"/>
                <w:szCs w:val="20"/>
              </w:rPr>
            </w:pPr>
            <w:r>
              <w:rPr>
                <w:sz w:val="20"/>
                <w:szCs w:val="20"/>
              </w:rPr>
              <w:t>(-1.31)</w:t>
            </w:r>
          </w:p>
        </w:tc>
        <w:tc>
          <w:tcPr>
            <w:tcW w:w="1134" w:type="dxa"/>
            <w:tcBorders>
              <w:top w:val="nil"/>
              <w:left w:val="single" w:sz="2" w:space="0" w:color="000000"/>
              <w:bottom w:val="nil"/>
              <w:right w:val="double" w:sz="11" w:space="0" w:color="000000"/>
              <w:tl2br w:val="nil"/>
              <w:tr2bl w:val="nil"/>
            </w:tcBorders>
            <w:vAlign w:val="center"/>
          </w:tcPr>
          <w:p w:rsidR="00A44840" w:rsidRDefault="00D35F5E">
            <w:pPr>
              <w:pStyle w:val="af0"/>
              <w:rPr>
                <w:sz w:val="20"/>
                <w:szCs w:val="20"/>
              </w:rPr>
            </w:pPr>
            <w:r>
              <w:rPr>
                <w:sz w:val="20"/>
                <w:szCs w:val="20"/>
              </w:rPr>
              <w:t>0.0020</w:t>
            </w:r>
          </w:p>
          <w:p w:rsidR="00A44840" w:rsidRDefault="00D35F5E">
            <w:pPr>
              <w:pStyle w:val="af0"/>
              <w:rPr>
                <w:sz w:val="20"/>
                <w:szCs w:val="20"/>
              </w:rPr>
            </w:pPr>
            <w:r>
              <w:rPr>
                <w:sz w:val="20"/>
                <w:szCs w:val="20"/>
              </w:rPr>
              <w:t>(0.04)</w:t>
            </w:r>
          </w:p>
        </w:tc>
        <w:tc>
          <w:tcPr>
            <w:tcW w:w="1134" w:type="dxa"/>
            <w:tcBorders>
              <w:top w:val="nil"/>
              <w:left w:val="double" w:sz="11"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0.0534</w:t>
            </w:r>
          </w:p>
          <w:p w:rsidR="00A44840" w:rsidRDefault="00D35F5E">
            <w:pPr>
              <w:pStyle w:val="af0"/>
              <w:rPr>
                <w:sz w:val="20"/>
                <w:szCs w:val="20"/>
              </w:rPr>
            </w:pPr>
            <w:r>
              <w:rPr>
                <w:sz w:val="20"/>
                <w:szCs w:val="20"/>
              </w:rPr>
              <w:t>(0.86)</w:t>
            </w:r>
          </w:p>
        </w:tc>
        <w:tc>
          <w:tcPr>
            <w:tcW w:w="1134" w:type="dxa"/>
            <w:tcBorders>
              <w:top w:val="nil"/>
              <w:left w:val="single" w:sz="2" w:space="0" w:color="000000"/>
              <w:bottom w:val="nil"/>
              <w:right w:val="single" w:sz="2" w:space="0" w:color="000000"/>
              <w:tl2br w:val="nil"/>
              <w:tr2bl w:val="nil"/>
            </w:tcBorders>
            <w:vAlign w:val="center"/>
          </w:tcPr>
          <w:p w:rsidR="00A44840" w:rsidRDefault="00D35F5E">
            <w:pPr>
              <w:pStyle w:val="af0"/>
              <w:rPr>
                <w:sz w:val="20"/>
                <w:szCs w:val="20"/>
              </w:rPr>
            </w:pPr>
            <w:r>
              <w:rPr>
                <w:sz w:val="20"/>
                <w:szCs w:val="20"/>
              </w:rPr>
              <w:t>-0.0344</w:t>
            </w:r>
          </w:p>
          <w:p w:rsidR="00A44840" w:rsidRDefault="00D35F5E">
            <w:pPr>
              <w:pStyle w:val="af0"/>
              <w:rPr>
                <w:sz w:val="20"/>
                <w:szCs w:val="20"/>
              </w:rPr>
            </w:pPr>
            <w:r>
              <w:rPr>
                <w:sz w:val="20"/>
                <w:szCs w:val="20"/>
              </w:rPr>
              <w:t>(-0.91)</w:t>
            </w:r>
          </w:p>
        </w:tc>
        <w:tc>
          <w:tcPr>
            <w:tcW w:w="1169" w:type="dxa"/>
            <w:tcBorders>
              <w:top w:val="nil"/>
              <w:left w:val="single" w:sz="2" w:space="0" w:color="000000"/>
              <w:bottom w:val="nil"/>
              <w:right w:val="nil"/>
              <w:tl2br w:val="nil"/>
              <w:tr2bl w:val="nil"/>
            </w:tcBorders>
            <w:vAlign w:val="center"/>
          </w:tcPr>
          <w:p w:rsidR="00A44840" w:rsidRDefault="00D35F5E">
            <w:pPr>
              <w:pStyle w:val="af0"/>
              <w:rPr>
                <w:sz w:val="20"/>
                <w:szCs w:val="20"/>
              </w:rPr>
            </w:pPr>
            <w:r>
              <w:rPr>
                <w:sz w:val="20"/>
                <w:szCs w:val="20"/>
              </w:rPr>
              <w:t>0.0190</w:t>
            </w:r>
          </w:p>
          <w:p w:rsidR="00A44840" w:rsidRDefault="00D35F5E">
            <w:pPr>
              <w:pStyle w:val="af0"/>
              <w:rPr>
                <w:sz w:val="20"/>
                <w:szCs w:val="20"/>
              </w:rPr>
            </w:pPr>
            <w:r>
              <w:rPr>
                <w:sz w:val="20"/>
                <w:szCs w:val="20"/>
              </w:rPr>
              <w:t>(0.26)</w:t>
            </w:r>
          </w:p>
        </w:tc>
      </w:tr>
      <w:tr w:rsidR="00A44840" w:rsidTr="006B03CF">
        <w:trPr>
          <w:trHeight w:val="414"/>
          <w:jc w:val="center"/>
        </w:trPr>
        <w:tc>
          <w:tcPr>
            <w:tcW w:w="1595" w:type="dxa"/>
            <w:tcBorders>
              <w:top w:val="nil"/>
              <w:left w:val="nil"/>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S.D.</w:t>
            </w:r>
            <w:r w:rsidR="00E52E8A">
              <w:rPr>
                <w:rFonts w:hint="eastAsia"/>
                <w:sz w:val="20"/>
                <w:szCs w:val="20"/>
              </w:rPr>
              <w:t xml:space="preserve"> </w:t>
            </w:r>
            <w:r>
              <w:rPr>
                <w:sz w:val="20"/>
                <w:szCs w:val="20"/>
              </w:rPr>
              <w:t>(%)</w:t>
            </w:r>
          </w:p>
        </w:tc>
        <w:tc>
          <w:tcPr>
            <w:tcW w:w="992"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1.6849</w:t>
            </w:r>
          </w:p>
        </w:tc>
        <w:tc>
          <w:tcPr>
            <w:tcW w:w="993"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1.2420</w:t>
            </w:r>
          </w:p>
        </w:tc>
        <w:tc>
          <w:tcPr>
            <w:tcW w:w="992"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1.2981</w:t>
            </w:r>
          </w:p>
        </w:tc>
        <w:tc>
          <w:tcPr>
            <w:tcW w:w="1134" w:type="dxa"/>
            <w:tcBorders>
              <w:top w:val="nil"/>
              <w:left w:val="single" w:sz="2" w:space="0" w:color="000000"/>
              <w:bottom w:val="single" w:sz="2" w:space="0" w:color="000000"/>
              <w:right w:val="double" w:sz="11" w:space="0" w:color="000000"/>
              <w:tl2br w:val="nil"/>
              <w:tr2bl w:val="nil"/>
            </w:tcBorders>
            <w:vAlign w:val="center"/>
          </w:tcPr>
          <w:p w:rsidR="00A44840" w:rsidRDefault="00D35F5E">
            <w:pPr>
              <w:pStyle w:val="af0"/>
              <w:rPr>
                <w:sz w:val="20"/>
                <w:szCs w:val="20"/>
              </w:rPr>
            </w:pPr>
            <w:r>
              <w:rPr>
                <w:sz w:val="20"/>
                <w:szCs w:val="20"/>
              </w:rPr>
              <w:t>1.7270</w:t>
            </w:r>
          </w:p>
        </w:tc>
        <w:tc>
          <w:tcPr>
            <w:tcW w:w="1134" w:type="dxa"/>
            <w:tcBorders>
              <w:top w:val="nil"/>
              <w:left w:val="double" w:sz="11"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2.2079</w:t>
            </w:r>
          </w:p>
        </w:tc>
        <w:tc>
          <w:tcPr>
            <w:tcW w:w="1134" w:type="dxa"/>
            <w:tcBorders>
              <w:top w:val="nil"/>
              <w:left w:val="single" w:sz="2" w:space="0" w:color="000000"/>
              <w:bottom w:val="single" w:sz="2" w:space="0" w:color="000000"/>
              <w:right w:val="single" w:sz="2" w:space="0" w:color="000000"/>
              <w:tl2br w:val="nil"/>
              <w:tr2bl w:val="nil"/>
            </w:tcBorders>
            <w:vAlign w:val="center"/>
          </w:tcPr>
          <w:p w:rsidR="00A44840" w:rsidRDefault="00D35F5E">
            <w:pPr>
              <w:pStyle w:val="af0"/>
              <w:rPr>
                <w:sz w:val="20"/>
                <w:szCs w:val="20"/>
              </w:rPr>
            </w:pPr>
            <w:r>
              <w:rPr>
                <w:sz w:val="20"/>
                <w:szCs w:val="20"/>
              </w:rPr>
              <w:t>1.3389</w:t>
            </w:r>
          </w:p>
        </w:tc>
        <w:tc>
          <w:tcPr>
            <w:tcW w:w="1169" w:type="dxa"/>
            <w:tcBorders>
              <w:top w:val="nil"/>
              <w:left w:val="single" w:sz="2" w:space="0" w:color="000000"/>
              <w:bottom w:val="single" w:sz="2" w:space="0" w:color="000000"/>
              <w:right w:val="nil"/>
              <w:tl2br w:val="nil"/>
              <w:tr2bl w:val="nil"/>
            </w:tcBorders>
            <w:vAlign w:val="center"/>
          </w:tcPr>
          <w:p w:rsidR="00A44840" w:rsidRDefault="00D35F5E">
            <w:pPr>
              <w:pStyle w:val="af0"/>
              <w:rPr>
                <w:sz w:val="20"/>
                <w:szCs w:val="20"/>
              </w:rPr>
            </w:pPr>
            <w:r>
              <w:rPr>
                <w:sz w:val="20"/>
                <w:szCs w:val="20"/>
              </w:rPr>
              <w:t>2.6073</w:t>
            </w:r>
          </w:p>
        </w:tc>
      </w:tr>
    </w:tbl>
    <w:p w:rsidR="00A44840" w:rsidRDefault="00A44840">
      <w:pPr>
        <w:rPr>
          <w:sz w:val="2"/>
        </w:rPr>
      </w:pPr>
    </w:p>
    <w:p w:rsidR="00A44840" w:rsidRDefault="00A44840">
      <w:pPr>
        <w:pStyle w:val="a8"/>
        <w:wordWrap/>
        <w:ind w:firstLine="0"/>
        <w:jc w:val="center"/>
      </w:pPr>
    </w:p>
    <w:p w:rsidR="00A44840" w:rsidRDefault="00D35F5E">
      <w:pPr>
        <w:pStyle w:val="a8"/>
      </w:pPr>
      <w:r>
        <w:t xml:space="preserve">Fourth, JB statistics are very significant as the </w:t>
      </w:r>
      <w:proofErr w:type="spellStart"/>
      <w:r>
        <w:t>skewness</w:t>
      </w:r>
      <w:proofErr w:type="spellEnd"/>
      <w:r>
        <w:t xml:space="preserve"> and excess kurtosis for overnight and daytime return</w:t>
      </w:r>
      <w:r w:rsidR="005B3004">
        <w:rPr>
          <w:rFonts w:hint="eastAsia"/>
        </w:rPr>
        <w:t>s</w:t>
      </w:r>
      <w:r>
        <w:t xml:space="preserve"> for both markets are much greater than 0. JB statistics for S&amp;P</w:t>
      </w:r>
      <w:r w:rsidR="005B3004">
        <w:rPr>
          <w:rFonts w:hint="eastAsia"/>
        </w:rPr>
        <w:t xml:space="preserve"> </w:t>
      </w:r>
      <w:r>
        <w:t xml:space="preserve">500 daily return are also significant, which is usual for the leptokurtic distribution of stock returns. </w:t>
      </w:r>
    </w:p>
    <w:p w:rsidR="00A44840" w:rsidRDefault="00D35F5E">
      <w:pPr>
        <w:pStyle w:val="a8"/>
      </w:pPr>
      <w:r>
        <w:t xml:space="preserve">&lt;Appendix A&gt; is the summary for </w:t>
      </w:r>
      <w:r w:rsidR="005B3004">
        <w:rPr>
          <w:rFonts w:hint="eastAsia"/>
        </w:rPr>
        <w:t xml:space="preserve">the </w:t>
      </w:r>
      <w:r>
        <w:t xml:space="preserve">average return and standard deviation for </w:t>
      </w:r>
      <w:r>
        <w:lastRenderedPageBreak/>
        <w:t xml:space="preserve">each time interval. &lt;Figure 3&gt; </w:t>
      </w:r>
      <w:r w:rsidR="005B3004">
        <w:rPr>
          <w:rFonts w:hint="eastAsia"/>
        </w:rPr>
        <w:t>presents</w:t>
      </w:r>
      <w:r w:rsidR="005B3004">
        <w:t xml:space="preserve"> </w:t>
      </w:r>
      <w:r>
        <w:t xml:space="preserve">the average return for the cash and futures for each time interval.  </w:t>
      </w:r>
    </w:p>
    <w:p w:rsidR="00A44840" w:rsidRDefault="00D35F5E">
      <w:pPr>
        <w:pStyle w:val="a8"/>
      </w:pPr>
      <w:r>
        <w:t xml:space="preserve">&lt;Figure 3&gt; shows that, for the </w:t>
      </w:r>
      <w:r w:rsidR="003230B7">
        <w:rPr>
          <w:rFonts w:hint="eastAsia"/>
        </w:rPr>
        <w:t>entire</w:t>
      </w:r>
      <w:r w:rsidR="003230B7">
        <w:t xml:space="preserve"> </w:t>
      </w:r>
      <w:r>
        <w:t>period, overnight returns</w:t>
      </w:r>
      <w:r w:rsidR="005B3004">
        <w:rPr>
          <w:rFonts w:hint="eastAsia"/>
        </w:rPr>
        <w:t xml:space="preserve"> </w:t>
      </w:r>
      <w:r>
        <w:t>(</w:t>
      </w:r>
      <m:oMath>
        <m:bar>
          <m:barPr>
            <m:pos m:val="top"/>
            <m:ctrlPr>
              <w:rPr>
                <w:rFonts w:ascii="Cambria Math" w:hAnsi="Cambria Math"/>
              </w:rPr>
            </m:ctrlPr>
          </m:barPr>
          <m:e>
            <m:r>
              <m:rPr>
                <m:sty m:val="p"/>
              </m:rPr>
              <w:rPr>
                <w:rFonts w:ascii="Cambria Math"/>
              </w:rPr>
              <m:t>r</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S,9:00</m:t>
                    </m:r>
                  </m:e>
                </m:d>
              </m:sub>
            </m:sSub>
          </m:e>
        </m:bar>
      </m:oMath>
      <w:proofErr w:type="gramStart"/>
      <w:r>
        <w:t xml:space="preserve">and </w:t>
      </w:r>
      <w:proofErr w:type="gramEnd"/>
      <m:oMath>
        <m:bar>
          <m:barPr>
            <m:pos m:val="top"/>
            <m:ctrlPr>
              <w:rPr>
                <w:rFonts w:ascii="Cambria Math" w:hAnsi="Cambria Math"/>
              </w:rPr>
            </m:ctrlPr>
          </m:barPr>
          <m:e>
            <m:r>
              <m:rPr>
                <m:sty m:val="p"/>
              </m:rPr>
              <w:rPr>
                <w:rFonts w:ascii="Cambria Math"/>
              </w:rPr>
              <m:t>r</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F,9:00</m:t>
                    </m:r>
                  </m:e>
                </m:d>
              </m:sub>
            </m:sSub>
          </m:e>
        </m:bar>
      </m:oMath>
      <w:r>
        <w:t>) and daily returns</w:t>
      </w:r>
      <w:r w:rsidR="008E1885">
        <w:rPr>
          <w:rFonts w:hint="eastAsia"/>
        </w:rPr>
        <w:t xml:space="preserve"> </w:t>
      </w:r>
      <w:r>
        <w:t>(</w:t>
      </w:r>
      <m:oMath>
        <m:bar>
          <m:barPr>
            <m:pos m:val="top"/>
            <m:ctrlPr>
              <w:rPr>
                <w:rFonts w:ascii="Cambria Math" w:hAnsi="Cambria Math"/>
              </w:rPr>
            </m:ctrlPr>
          </m:barPr>
          <m:e>
            <m:r>
              <m:rPr>
                <m:sty m:val="p"/>
              </m:rPr>
              <w:rPr>
                <w:rFonts w:ascii="Cambria Math"/>
              </w:rPr>
              <m:t>r</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S,15:00</m:t>
                    </m:r>
                  </m:e>
                </m:d>
              </m:sub>
            </m:sSub>
          </m:e>
        </m:bar>
      </m:oMath>
      <w:r>
        <w:t xml:space="preserve"> and </w:t>
      </w:r>
      <m:oMath>
        <m:bar>
          <m:barPr>
            <m:pos m:val="top"/>
            <m:ctrlPr>
              <w:rPr>
                <w:rFonts w:ascii="Cambria Math" w:hAnsi="Cambria Math"/>
              </w:rPr>
            </m:ctrlPr>
          </m:barPr>
          <m:e>
            <m:r>
              <m:rPr>
                <m:sty m:val="p"/>
              </m:rPr>
              <w:rPr>
                <w:rFonts w:ascii="Cambria Math"/>
              </w:rPr>
              <m:t>r</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S,15:15</m:t>
                    </m:r>
                  </m:e>
                </m:d>
              </m:sub>
            </m:sSub>
          </m:e>
        </m:bar>
      </m:oMath>
      <w:r>
        <w:t>)</w:t>
      </w:r>
      <w:r w:rsidR="008E1885">
        <w:rPr>
          <w:rFonts w:hint="eastAsia"/>
        </w:rPr>
        <w:t xml:space="preserve"> </w:t>
      </w:r>
      <w:r>
        <w:t xml:space="preserve">are </w:t>
      </w:r>
      <w:r w:rsidR="008E1885">
        <w:rPr>
          <w:rFonts w:hint="eastAsia"/>
        </w:rPr>
        <w:t>nearly</w:t>
      </w:r>
      <w:r w:rsidR="008E1885">
        <w:t xml:space="preserve"> </w:t>
      </w:r>
      <w:r>
        <w:t>the same</w:t>
      </w:r>
      <w:r w:rsidR="008E1885">
        <w:rPr>
          <w:rFonts w:hint="eastAsia"/>
        </w:rPr>
        <w:t>; yet,</w:t>
      </w:r>
      <w:r>
        <w:t xml:space="preserve"> the returns in between has</w:t>
      </w:r>
      <w:r w:rsidR="008E1885">
        <w:rPr>
          <w:rFonts w:hint="eastAsia"/>
        </w:rPr>
        <w:t xml:space="preserve"> a</w:t>
      </w:r>
      <w:r>
        <w:t xml:space="preserve"> U-shape</w:t>
      </w:r>
      <w:r w:rsidR="008E1885">
        <w:rPr>
          <w:rFonts w:hint="eastAsia"/>
        </w:rPr>
        <w:t>d</w:t>
      </w:r>
      <w:r>
        <w:t xml:space="preserve"> curve. These are known as</w:t>
      </w:r>
      <w:r w:rsidR="008E1885">
        <w:rPr>
          <w:rFonts w:hint="eastAsia"/>
        </w:rPr>
        <w:t xml:space="preserve"> the</w:t>
      </w:r>
      <w:r>
        <w:t xml:space="preserve"> intraday effect.</w:t>
      </w:r>
      <w:r>
        <w:rPr>
          <w:vertAlign w:val="superscript"/>
        </w:rPr>
        <w:footnoteReference w:id="8"/>
      </w:r>
      <w:r>
        <w:t xml:space="preserve"> The U-shape</w:t>
      </w:r>
      <w:r w:rsidR="008E1885">
        <w:rPr>
          <w:rFonts w:hint="eastAsia"/>
        </w:rPr>
        <w:t>d</w:t>
      </w:r>
      <w:r>
        <w:t xml:space="preserve"> curve </w:t>
      </w:r>
      <w:proofErr w:type="gramStart"/>
      <w:r>
        <w:t xml:space="preserve">is </w:t>
      </w:r>
      <w:r w:rsidR="00732AAB">
        <w:rPr>
          <w:rFonts w:hint="eastAsia"/>
        </w:rPr>
        <w:t xml:space="preserve"> more</w:t>
      </w:r>
      <w:proofErr w:type="gramEnd"/>
      <w:r w:rsidR="00732AAB">
        <w:rPr>
          <w:rFonts w:hint="eastAsia"/>
        </w:rPr>
        <w:t xml:space="preserve"> apparent</w:t>
      </w:r>
      <w:r>
        <w:t xml:space="preserve"> in the cash market than in the futures market and after the crisis than before the crisis. </w:t>
      </w:r>
    </w:p>
    <w:p w:rsidR="00A44840" w:rsidRDefault="00D35F5E">
      <w:pPr>
        <w:pStyle w:val="a8"/>
      </w:pPr>
      <w:r>
        <w:t xml:space="preserve">Another characteristic is that </w:t>
      </w:r>
      <w:r w:rsidR="00732AAB">
        <w:rPr>
          <w:rFonts w:hint="eastAsia"/>
        </w:rPr>
        <w:t xml:space="preserve">the </w:t>
      </w:r>
      <w:r>
        <w:t>cash return decreases significantly</w:t>
      </w:r>
      <w:r w:rsidR="00732AAB">
        <w:rPr>
          <w:rFonts w:hint="eastAsia"/>
        </w:rPr>
        <w:t xml:space="preserve"> during</w:t>
      </w:r>
      <w:r>
        <w:t xml:space="preserve"> the 15 minutes just after the opening, and increases significantly </w:t>
      </w:r>
      <w:r w:rsidR="00732AAB">
        <w:rPr>
          <w:rFonts w:hint="eastAsia"/>
        </w:rPr>
        <w:t>during the</w:t>
      </w:r>
      <w:r w:rsidR="00732AAB">
        <w:t xml:space="preserve"> </w:t>
      </w:r>
      <w:r>
        <w:t xml:space="preserve">35 minutes between 14:15 and 14:50. This phenomenon </w:t>
      </w:r>
      <w:r w:rsidR="00732AAB">
        <w:rPr>
          <w:rFonts w:hint="eastAsia"/>
        </w:rPr>
        <w:t xml:space="preserve">is a </w:t>
      </w:r>
      <w:r w:rsidR="00732AAB">
        <w:t>common</w:t>
      </w:r>
      <w:r w:rsidR="00732AAB">
        <w:rPr>
          <w:rFonts w:hint="eastAsia"/>
        </w:rPr>
        <w:t xml:space="preserve"> appearance both pre- and post-crisis</w:t>
      </w:r>
      <w:r>
        <w:t xml:space="preserve"> </w:t>
      </w:r>
      <w:r w:rsidR="00732AAB">
        <w:rPr>
          <w:rFonts w:hint="eastAsia"/>
        </w:rPr>
        <w:t>periods</w:t>
      </w:r>
      <w:r>
        <w:t>.</w:t>
      </w:r>
      <w:bookmarkStart w:id="4" w:name="f_1089692304"/>
      <w:r>
        <w:rPr>
          <w:vertAlign w:val="superscript"/>
        </w:rPr>
        <w:footnoteReference w:id="9"/>
      </w:r>
      <w:bookmarkEnd w:id="4"/>
      <w:r>
        <w:t xml:space="preserve"> </w:t>
      </w:r>
      <w:r w:rsidR="00732AAB">
        <w:rPr>
          <w:rFonts w:hint="eastAsia"/>
        </w:rPr>
        <w:t>However,</w:t>
      </w:r>
      <w:r w:rsidR="00732AAB">
        <w:t xml:space="preserve"> </w:t>
      </w:r>
      <w:r>
        <w:t xml:space="preserve">for the futures returns, the phenomenon is not </w:t>
      </w:r>
      <w:r w:rsidR="00732AAB">
        <w:rPr>
          <w:rFonts w:hint="eastAsia"/>
        </w:rPr>
        <w:t xml:space="preserve">as </w:t>
      </w:r>
      <w:r>
        <w:t xml:space="preserve">significant. </w:t>
      </w:r>
    </w:p>
    <w:p w:rsidR="00A44840" w:rsidRDefault="00D35F5E">
      <w:pPr>
        <w:pStyle w:val="a8"/>
      </w:pPr>
      <w:r>
        <w:t xml:space="preserve">Unlike </w:t>
      </w:r>
      <w:r w:rsidR="001F56AC">
        <w:rPr>
          <w:rFonts w:hint="eastAsia"/>
        </w:rPr>
        <w:t xml:space="preserve">the </w:t>
      </w:r>
      <w:r>
        <w:t xml:space="preserve">cumulative return for each time interval, </w:t>
      </w:r>
      <w:r w:rsidR="001F56AC">
        <w:rPr>
          <w:rFonts w:hint="eastAsia"/>
        </w:rPr>
        <w:t xml:space="preserve">the </w:t>
      </w:r>
      <w:r>
        <w:t xml:space="preserve">standard deviation increases monotonically and slowly for both </w:t>
      </w:r>
      <w:r w:rsidR="001F56AC">
        <w:rPr>
          <w:rFonts w:hint="eastAsia"/>
        </w:rPr>
        <w:t xml:space="preserve">the </w:t>
      </w:r>
      <w:r>
        <w:t>cash and futures market. &lt;Appendix A&gt;</w:t>
      </w:r>
      <w:r w:rsidR="001F56AC">
        <w:rPr>
          <w:rFonts w:hint="eastAsia"/>
        </w:rPr>
        <w:t xml:space="preserve"> </w:t>
      </w:r>
      <w:r w:rsidR="001F56AC">
        <w:t xml:space="preserve">portrays </w:t>
      </w:r>
      <w:r>
        <w:t xml:space="preserve">that </w:t>
      </w:r>
      <w:r w:rsidR="001F56AC">
        <w:rPr>
          <w:rFonts w:hint="eastAsia"/>
        </w:rPr>
        <w:t xml:space="preserve">the </w:t>
      </w:r>
      <w:r>
        <w:t>overnight return standard deviation is 1.1684% for cash and 1.7309% for futures</w:t>
      </w:r>
      <w:r w:rsidR="001F56AC">
        <w:rPr>
          <w:rFonts w:hint="eastAsia"/>
        </w:rPr>
        <w:t>. These figures</w:t>
      </w:r>
      <w:r>
        <w:t xml:space="preserve"> increase monotonically and slowly, resulting in 1.7024%</w:t>
      </w:r>
      <w:r w:rsidR="001F56AC">
        <w:rPr>
          <w:rFonts w:hint="eastAsia"/>
        </w:rPr>
        <w:t xml:space="preserve"> and </w:t>
      </w:r>
      <w:r>
        <w:t>2.2110%</w:t>
      </w:r>
      <w:r w:rsidR="001F56AC">
        <w:rPr>
          <w:rFonts w:hint="eastAsia"/>
        </w:rPr>
        <w:t>,</w:t>
      </w:r>
      <w:r>
        <w:t xml:space="preserve"> respectively at the closing, which are greater than the </w:t>
      </w:r>
      <w:r w:rsidRPr="003D65C8">
        <w:t>overnight</w:t>
      </w:r>
      <w:r w:rsidR="003D65C8" w:rsidRPr="003D65C8">
        <w:t xml:space="preserve"> return</w:t>
      </w:r>
      <w:r w:rsidR="003D65C8" w:rsidRPr="003D65C8">
        <w:rPr>
          <w:rFonts w:hint="eastAsia"/>
        </w:rPr>
        <w:t>s</w:t>
      </w:r>
      <w:r>
        <w:t xml:space="preserve"> </w:t>
      </w:r>
      <w:r w:rsidR="00D854DF">
        <w:rPr>
          <w:rFonts w:hint="eastAsia"/>
        </w:rPr>
        <w:t xml:space="preserve">by </w:t>
      </w:r>
      <w:r>
        <w:t xml:space="preserve">about 1.5 times. This implies that 2/3 of </w:t>
      </w:r>
      <w:r w:rsidR="00D854DF">
        <w:rPr>
          <w:rFonts w:hint="eastAsia"/>
        </w:rPr>
        <w:t xml:space="preserve">the </w:t>
      </w:r>
      <w:r>
        <w:t xml:space="preserve">news shock </w:t>
      </w:r>
      <w:r w:rsidR="00D854DF">
        <w:rPr>
          <w:rFonts w:hint="eastAsia"/>
        </w:rPr>
        <w:t>is</w:t>
      </w:r>
      <w:r w:rsidR="00D854DF">
        <w:t xml:space="preserve"> </w:t>
      </w:r>
      <w:r>
        <w:t>reflected in the opening price, and rest 1/3 is reflected during the daytime.</w:t>
      </w:r>
    </w:p>
    <w:p w:rsidR="00A44840" w:rsidRDefault="00D91DF9">
      <w:pPr>
        <w:pStyle w:val="af1"/>
      </w:pPr>
      <w:r>
        <w:rPr>
          <w:noProof/>
        </w:rPr>
        <w:lastRenderedPageBreak/>
        <w:drawing>
          <wp:inline distT="0" distB="0" distL="0" distR="0">
            <wp:extent cx="5649601" cy="3352800"/>
            <wp:effectExtent l="19050" t="0" r="8249" b="0"/>
            <wp:docPr id="19" name="그림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srcRect/>
                    <a:stretch>
                      <a:fillRect/>
                    </a:stretch>
                  </pic:blipFill>
                  <pic:spPr bwMode="auto">
                    <a:xfrm>
                      <a:off x="0" y="0"/>
                      <a:ext cx="5658543" cy="3358107"/>
                    </a:xfrm>
                    <a:prstGeom prst="rect">
                      <a:avLst/>
                    </a:prstGeom>
                    <a:noFill/>
                    <a:ln w="9525">
                      <a:noFill/>
                      <a:miter lim="800000"/>
                      <a:headEnd/>
                      <a:tailEnd/>
                    </a:ln>
                  </pic:spPr>
                </pic:pic>
              </a:graphicData>
            </a:graphic>
          </wp:inline>
        </w:drawing>
      </w:r>
      <w:r w:rsidR="004E4790">
        <w:rPr>
          <w:noProof/>
        </w:rPr>
      </w:r>
      <w:r w:rsidR="003D65C8">
        <w:rPr>
          <w:noProof/>
        </w:rPr>
        <w:pict>
          <v:rect id="_x0000_s1103743519" o:spid="_x0000_s1037" alt="설명: 그림입니다. 원본 그림의 이름: CLP00001f3c0566.bmp 원본 그림의 크기: 가로 887pixel, 세로 567pixel"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lUIMAMAAC0GAAAOAAAAZHJzL2Uyb0RvYy54bWysVM2K3EYQvgfyDk2fo5E0o9GMxGrNemYV&#10;Aht7wfbZ9EitUWOpW3T3rmZtDA7YYPAlx4B/wBB8ysGQQPaQJ9pZv4OrW6PZnfXF2NFBVFdVf10/&#10;X9XerVVdoVMqFRM8wf7Aw4jyTOSMLxP84H7qTDFSmvCcVILTBJ9RhW/t//jDXtvEdChKUeVUIgDh&#10;Km6bBJdaN7HrqqykNVED0VAOxkLImmg4yqWbS9ICel25Q88L3VbIvJEio0qBdt4Z8b7FLwqa6btF&#10;oahGVYIhNm3/0v4X5u/u75F4KUlTsmwTBvmGKGrCODy6hZoTTdCJZF9A1SyTQolCDzJRu6IoWEZt&#10;DpCN793I5l5JGmpzgeKoZlsm9f/BZndOjyViOfQuwoiTGnr0cOXB91D5vjeaBKOxseRUZVC2i3/P&#10;1x/+u3z3Yv3q5frVnwN0+fr39d/naKN/+we6fPvP+sPzGM2Ojg2KX4wybxyGg0XdfOn86be/Ls4/&#10;xuji47P1+zdoOp00bEWrn9Dl83OjGIedwrSpbVQM0d5rjqUptGqORPZIIS5mJeFLeiClaEtKciiO&#10;b/zdnQvmoOAqWrS/ihySJCda2I6tClkbQOgFWllinG2JQVcaZaAcjSZhNAL+ZGAb+tHEt8xxSdzf&#10;bqTSP1NRIyMkWALxLDo5PVLaREPi3sU8xkXKqsqSr+I7CnDsNPA2XDU2E4Xl0pPIiw6nh9PACYbh&#10;oRN487lzkM4CJ0z9yXg+ms9mc/+pedcP4pLlOeXmmZ7XfvB1vNlMWMfILbOVqFhu4ExISi4Xs0qi&#10;UwJzldrP1hwsV27ubhi2CJDLjZT8YeDdHkZOGk4nTpAGYyeaeFPH86PbUegFUTBPd1M6Ypx+f0qo&#10;TXA0Ho5tl64FfSM3w2Gvb/aOW800bK6K1Qmebp1IbCh4yHPbWk1Y1cnXSmHCvyoFtLtvtCWs4WjH&#10;db1arOxgjnr2L0R+BgyWAggGXIStC0Ip5GOMWthgCeawYjGqfuEwA2bZ9YLshUUvEJ7BxQRrjDpx&#10;pruleNJItiwB1+8K0xzAnKTMUtjMUBfDZrpgJ9lMNvvTLL3rZ+t1teX3PwMAAP//AwBQSwMEFAAG&#10;AAgAAAAhAC8G4wHWAAAABQEAAA8AAABkcnMvZG93bnJldi54bWxMj81qwzAQhO+FvIPYQm+N1BxK&#10;cC2HUgikpZc4fQDFWv9QaddISuy8fZRSaC/LDrPMflNuZu/EGUMcmDQ8LRUIpIbtQJ2Gr8P2cQ0i&#10;JkPWOCbUcMEIm2pxV5rC8kR7PNepEzmEYmE09CmNhZSx6dGbuOQRKXstB29SlqGTNpgph3snV0o9&#10;S28Gyh96M+Jbj813ffIa5KHeTuvaBcUfq/bTve/2LbLWD/fz6wuIhHP6O4YbfkaHKjMd+UQ2Cqch&#10;F0k/8+YpleXxd5FVKf/TV1cAAAD//wMAUEsBAi0AFAAGAAgAAAAhALaDOJL+AAAA4QEAABMAAAAA&#10;AAAAAAAAAAAAAAAAAFtDb250ZW50X1R5cGVzXS54bWxQSwECLQAUAAYACAAAACEAOP0h/9YAAACU&#10;AQAACwAAAAAAAAAAAAAAAAAvAQAAX3JlbHMvLnJlbHNQSwECLQAUAAYACAAAACEAZ7ZVCDADAAAt&#10;BgAADgAAAAAAAAAAAAAAAAAuAgAAZHJzL2Uyb0RvYy54bWxQSwECLQAUAAYACAAAACEALwbjAdYA&#10;AAAFAQAADwAAAAAAAAAAAAAAAACKBQAAZHJzL2Rvd25yZXYueG1sUEsFBgAAAAAEAAQA8wAAAI0G&#10;AAAAAA==&#10;" filled="f" stroked="f">
            <v:textbox style="mso-fit-shape-to-text:t" inset="0,0,0,0">
              <w:txbxContent>
                <w:p w:rsidR="006B03CF" w:rsidRDefault="006B03CF">
                  <w:pPr>
                    <w:pStyle w:val="af1"/>
                  </w:pPr>
                  <w:r>
                    <w:t xml:space="preserve">&lt;Figure </w:t>
                  </w:r>
                  <w:r>
                    <w:fldChar w:fldCharType="begin"/>
                  </w:r>
                  <w:r>
                    <w:instrText>SEQ 그림\* ARABIC\r 3</w:instrText>
                  </w:r>
                  <w:r>
                    <w:fldChar w:fldCharType="separate"/>
                  </w:r>
                  <w:r>
                    <w:rPr>
                      <w:noProof/>
                    </w:rPr>
                    <w:t>3</w:t>
                  </w:r>
                  <w:r>
                    <w:rPr>
                      <w:noProof/>
                    </w:rPr>
                    <w:fldChar w:fldCharType="end"/>
                  </w:r>
                  <w:r>
                    <w:t>&gt; Average return for each time interval</w:t>
                  </w:r>
                </w:p>
              </w:txbxContent>
            </v:textbox>
            <w10:wrap type="none"/>
            <w10:anchorlock/>
          </v:rect>
        </w:pict>
      </w:r>
    </w:p>
    <w:p w:rsidR="00A44840" w:rsidRDefault="00D35F5E">
      <w:pPr>
        <w:pStyle w:val="a8"/>
      </w:pPr>
      <w:r>
        <w:t xml:space="preserve"> &lt;Figure 4&gt; is the average of the trading volume for each of the 15</w:t>
      </w:r>
      <w:r w:rsidR="00E0466A">
        <w:rPr>
          <w:rFonts w:hint="eastAsia"/>
        </w:rPr>
        <w:t>-</w:t>
      </w:r>
      <w:r>
        <w:t>minute interval. Generally</w:t>
      </w:r>
      <w:r w:rsidR="00E0466A">
        <w:rPr>
          <w:rFonts w:hint="eastAsia"/>
        </w:rPr>
        <w:t>, the</w:t>
      </w:r>
      <w:r>
        <w:t xml:space="preserve"> daily trading patterns are very similar for the two markets. Specifically</w:t>
      </w:r>
      <w:r w:rsidR="00E0466A">
        <w:rPr>
          <w:rFonts w:hint="eastAsia"/>
        </w:rPr>
        <w:t>,</w:t>
      </w:r>
      <w:r>
        <w:t xml:space="preserve"> the trading volume</w:t>
      </w:r>
      <w:r w:rsidR="001F2DF6">
        <w:rPr>
          <w:rFonts w:hint="eastAsia"/>
        </w:rPr>
        <w:t xml:space="preserve"> is high</w:t>
      </w:r>
      <w:r>
        <w:t xml:space="preserve"> at the cash market for the 15 minutes just after the opening and for the 15 minutes just before the single price auction </w:t>
      </w:r>
      <w:r w:rsidR="001F2DF6">
        <w:rPr>
          <w:rFonts w:hint="eastAsia"/>
        </w:rPr>
        <w:t xml:space="preserve">begins </w:t>
      </w:r>
      <w:r>
        <w:t xml:space="preserve">(between 14:30 and 14:45). </w:t>
      </w:r>
      <w:r w:rsidR="00E0466A">
        <w:rPr>
          <w:rFonts w:hint="eastAsia"/>
        </w:rPr>
        <w:t>T</w:t>
      </w:r>
      <w:r w:rsidR="00E0466A">
        <w:t xml:space="preserve">he </w:t>
      </w:r>
      <w:r>
        <w:t>trading volume before and af</w:t>
      </w:r>
      <w:r w:rsidR="003D65C8">
        <w:t>ter 12:15 is significantly low</w:t>
      </w:r>
      <w:r>
        <w:t>. Therefore</w:t>
      </w:r>
      <w:r w:rsidR="00E0466A">
        <w:rPr>
          <w:rFonts w:hint="eastAsia"/>
        </w:rPr>
        <w:t>,</w:t>
      </w:r>
      <w:r>
        <w:t xml:space="preserve"> we may conclude that the trading is concentrated at the beginning and end of a given trading day and is sluggish in between.  </w:t>
      </w:r>
    </w:p>
    <w:p w:rsidR="00A44840" w:rsidRDefault="00A44840">
      <w:pPr>
        <w:pStyle w:val="a8"/>
      </w:pPr>
    </w:p>
    <w:p w:rsidR="00A44840" w:rsidRDefault="00A44840">
      <w:pPr>
        <w:pStyle w:val="a8"/>
      </w:pPr>
    </w:p>
    <w:p w:rsidR="00A44840" w:rsidRDefault="00A44840">
      <w:pPr>
        <w:pStyle w:val="a8"/>
      </w:pPr>
    </w:p>
    <w:p w:rsidR="00A44840" w:rsidRDefault="0094672B">
      <w:pPr>
        <w:pStyle w:val="af1"/>
      </w:pPr>
      <w:r>
        <w:rPr>
          <w:noProof/>
        </w:rPr>
        <w:lastRenderedPageBreak/>
        <w:drawing>
          <wp:inline distT="0" distB="0" distL="0" distR="0">
            <wp:extent cx="4229100" cy="3464964"/>
            <wp:effectExtent l="19050" t="0" r="0" b="0"/>
            <wp:docPr id="16" name="그림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srcRect/>
                    <a:stretch>
                      <a:fillRect/>
                    </a:stretch>
                  </pic:blipFill>
                  <pic:spPr bwMode="auto">
                    <a:xfrm>
                      <a:off x="0" y="0"/>
                      <a:ext cx="4233059" cy="3468208"/>
                    </a:xfrm>
                    <a:prstGeom prst="rect">
                      <a:avLst/>
                    </a:prstGeom>
                    <a:noFill/>
                    <a:ln w="9525">
                      <a:noFill/>
                      <a:miter lim="800000"/>
                      <a:headEnd/>
                      <a:tailEnd/>
                    </a:ln>
                  </pic:spPr>
                </pic:pic>
              </a:graphicData>
            </a:graphic>
          </wp:inline>
        </w:drawing>
      </w:r>
      <w:r w:rsidR="004E4790">
        <w:rPr>
          <w:noProof/>
        </w:rPr>
      </w:r>
      <w:r w:rsidR="003D65C8">
        <w:rPr>
          <w:noProof/>
        </w:rPr>
        <w:pict>
          <v:rect id="_x0000_s1103743520" o:spid="_x0000_s1036" alt="설명: 그림입니다. 원본 그림의 이름: CLP00000e040a2e.bmp 원본 그림의 크기: 가로 696pixel, 세로 570pixel"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Fa5MAMAAC0GAAAOAAAAZHJzL2Uyb0RvYy54bWysVE+L3DYUvxf6HYTO9Vj2ev7YrDdsZtal&#10;sGkX0p6DxpbHorZkJO16tiWQQAqFXHIMJCkUQk45BFrIHvKJdrbfoU/yeHdncyltdRBPT08/vT+/&#10;9/bvrZsanTGluRQpDkYEIyZyWXCxSvEP32feDCNtqChoLQVL8TnT+N7Bl1/sd23CQlnJumAKAYjQ&#10;SdemuDKmTXxf5xVrqB7Jlgm4LKVqqIGjWvmFoh2gN7UfEjLxO6mKVsmcaQ3aRX+JDxx+WbLcfFeW&#10;mhlUpxh8M25Xbl/a3T/Yp8lK0bbi+dYN+i+8aCgX8Ok11IIaik4V/wyq4bmSWpZmlMvGl2XJc+Zi&#10;gGgCcieahxVtmYsFkqPb6zTp/w82//bsRCFeQO2gUoI2UKNHawLrkQ4CsjeN9sYhJK5gOoe0XX68&#10;2Lz7dPXbL5vnv26evx2hq1cvNn9coK3+zUt09ebPzbtnCZofn1gUwkhEaMhGy6b93Pivp+8vLz4k&#10;6PLDk83vr9EknrR8zeqv0NWzC6sYT4lT2DJ1rU7A24ftibKJ1u2xzH/USMh5RcWKHSolu4rRApIT&#10;WHt/54E9aHiKlt0DWUCQ9NRIV7F1qRoLCLVAa0eM82tisLVBOSj3ZiSYRmOMcrgLg3gaOOb4NBle&#10;t0qbr5lskBVSrIB4Dp2eHWtjvaHJYGI/EzLjde3IV4sdBRj2Gvgbnto764Xj0s8xiY9mR7PIi8LJ&#10;kReRxcI7zOaRN8mC6Xixt5jPF8Fj+28QJRUvCibsNwOvg+if8WbbYT0jr5mtZc0LC2dd0mq1nNcK&#10;nVHoq8wtl3O4uTHzd91wSYBY7oQUhBG5H8ZeNplNvSiLxl48JTOPBPH9eEKiOFpkuyEdc8H+e0io&#10;S3E8DseuSrecvhOb4/BQ7B2zhhuYXDVvUjxzVv0ssRQ8EoUrraG87uVbqbDu36QCyj0U2hHWcrTn&#10;ulkv164xo4H9S1mcA4OVBIJBS8LUBaGS6ieMOphgKRYwYjGqvxHQA3bYDYIahOUgUJHDwxQbjHpx&#10;bvqheNoqvqoAN+gT0x5Cn2TcUdj2UO/DtrtgJrlItvPTDr3bZ2d1M+UP/gYAAP//AwBQSwMEFAAG&#10;AAgAAAAhAC8G4wHWAAAABQEAAA8AAABkcnMvZG93bnJldi54bWxMj81qwzAQhO+FvIPYQm+N1BxK&#10;cC2HUgikpZc4fQDFWv9QaddISuy8fZRSaC/LDrPMflNuZu/EGUMcmDQ8LRUIpIbtQJ2Gr8P2cQ0i&#10;JkPWOCbUcMEIm2pxV5rC8kR7PNepEzmEYmE09CmNhZSx6dGbuOQRKXstB29SlqGTNpgph3snV0o9&#10;S28Gyh96M+Jbj813ffIa5KHeTuvaBcUfq/bTve/2LbLWD/fz6wuIhHP6O4YbfkaHKjMd+UQ2Cqch&#10;F0k/8+YpleXxd5FVKf/TV1cAAAD//wMAUEsBAi0AFAAGAAgAAAAhALaDOJL+AAAA4QEAABMAAAAA&#10;AAAAAAAAAAAAAAAAAFtDb250ZW50X1R5cGVzXS54bWxQSwECLQAUAAYACAAAACEAOP0h/9YAAACU&#10;AQAACwAAAAAAAAAAAAAAAAAvAQAAX3JlbHMvLnJlbHNQSwECLQAUAAYACAAAACEAQThWuTADAAAt&#10;BgAADgAAAAAAAAAAAAAAAAAuAgAAZHJzL2Uyb0RvYy54bWxQSwECLQAUAAYACAAAACEALwbjAdYA&#10;AAAFAQAADwAAAAAAAAAAAAAAAACKBQAAZHJzL2Rvd25yZXYueG1sUEsFBgAAAAAEAAQA8wAAAI0G&#10;AAAAAA==&#10;" filled="f" stroked="f">
            <v:textbox style="mso-fit-shape-to-text:t" inset="0,0,0,0">
              <w:txbxContent>
                <w:p w:rsidR="006B03CF" w:rsidRDefault="006B03CF">
                  <w:pPr>
                    <w:pStyle w:val="af1"/>
                  </w:pPr>
                  <w:r>
                    <w:t xml:space="preserve">&lt;Figure </w:t>
                  </w:r>
                  <w:r>
                    <w:fldChar w:fldCharType="begin"/>
                  </w:r>
                  <w:r>
                    <w:instrText>SEQ 그림\* ARABIC\r 4</w:instrText>
                  </w:r>
                  <w:r>
                    <w:fldChar w:fldCharType="separate"/>
                  </w:r>
                  <w:r>
                    <w:rPr>
                      <w:noProof/>
                    </w:rPr>
                    <w:t>4</w:t>
                  </w:r>
                  <w:r>
                    <w:rPr>
                      <w:noProof/>
                    </w:rPr>
                    <w:fldChar w:fldCharType="end"/>
                  </w:r>
                  <w:r>
                    <w:t>&gt; Trading volume ratio for each time interval</w:t>
                  </w:r>
                </w:p>
              </w:txbxContent>
            </v:textbox>
            <w10:wrap type="none"/>
            <w10:anchorlock/>
          </v:rect>
        </w:pict>
      </w:r>
    </w:p>
    <w:p w:rsidR="00A44840" w:rsidRDefault="00A44840">
      <w:pPr>
        <w:pStyle w:val="a8"/>
      </w:pPr>
    </w:p>
    <w:p w:rsidR="00A44840" w:rsidRDefault="00D35F5E">
      <w:pPr>
        <w:pStyle w:val="aa"/>
      </w:pPr>
      <w:r>
        <w:t>IV. Response to U</w:t>
      </w:r>
      <w:r w:rsidR="002918B2">
        <w:rPr>
          <w:rFonts w:hint="eastAsia"/>
        </w:rPr>
        <w:t>.</w:t>
      </w:r>
      <w:r>
        <w:t>S</w:t>
      </w:r>
      <w:r w:rsidR="002918B2">
        <w:rPr>
          <w:rFonts w:hint="eastAsia"/>
        </w:rPr>
        <w:t>.</w:t>
      </w:r>
      <w:r>
        <w:t xml:space="preserve"> stock market news</w:t>
      </w:r>
    </w:p>
    <w:p w:rsidR="00A44840" w:rsidRDefault="00D35F5E">
      <w:pPr>
        <w:pStyle w:val="ab"/>
        <w:numPr>
          <w:ilvl w:val="0"/>
          <w:numId w:val="2"/>
        </w:numPr>
      </w:pPr>
      <w:r>
        <w:t xml:space="preserve"> Price Response</w:t>
      </w:r>
    </w:p>
    <w:p w:rsidR="00A44840" w:rsidRDefault="00D35F5E">
      <w:pPr>
        <w:pStyle w:val="a8"/>
      </w:pPr>
      <w:r>
        <w:t xml:space="preserve">Event study is a methodology that looks into the impact of announcement </w:t>
      </w:r>
      <w:r w:rsidR="00CE2D22">
        <w:rPr>
          <w:rFonts w:hint="eastAsia"/>
        </w:rPr>
        <w:t>for</w:t>
      </w:r>
      <w:r>
        <w:t xml:space="preserve"> a specific event on asset prices by reviewing</w:t>
      </w:r>
      <w:r w:rsidR="00CE2D22">
        <w:rPr>
          <w:rFonts w:hint="eastAsia"/>
        </w:rPr>
        <w:t xml:space="preserve"> the</w:t>
      </w:r>
      <w:r>
        <w:t xml:space="preserve"> abnormal return (AR) or cumulative abnormal return (CAR) during the event window. We can apply a similar methodology </w:t>
      </w:r>
      <w:r w:rsidR="00CE2D22">
        <w:rPr>
          <w:rFonts w:hint="eastAsia"/>
        </w:rPr>
        <w:t xml:space="preserve">in order </w:t>
      </w:r>
      <w:r>
        <w:t>to check out the impact of the U</w:t>
      </w:r>
      <w:r w:rsidR="00CE2D22">
        <w:rPr>
          <w:rFonts w:hint="eastAsia"/>
        </w:rPr>
        <w:t>.</w:t>
      </w:r>
      <w:r>
        <w:t>S</w:t>
      </w:r>
      <w:r w:rsidR="00CE2D22">
        <w:rPr>
          <w:rFonts w:hint="eastAsia"/>
        </w:rPr>
        <w:t>.</w:t>
      </w:r>
      <w:r>
        <w:t xml:space="preserve"> market change on KOSPI 200 cash and futures. We may find the extent of the impact of the U</w:t>
      </w:r>
      <w:r w:rsidR="00CE2D22">
        <w:rPr>
          <w:rFonts w:hint="eastAsia"/>
        </w:rPr>
        <w:t>.</w:t>
      </w:r>
      <w:r>
        <w:t>S</w:t>
      </w:r>
      <w:r w:rsidR="00CE2D22">
        <w:rPr>
          <w:rFonts w:hint="eastAsia"/>
        </w:rPr>
        <w:t>.</w:t>
      </w:r>
      <w:r>
        <w:t xml:space="preserve"> market on the Korean market by reviewing the patterns of return responses during </w:t>
      </w:r>
      <w:r w:rsidR="00CE2D22">
        <w:rPr>
          <w:rFonts w:hint="eastAsia"/>
        </w:rPr>
        <w:t>the</w:t>
      </w:r>
      <w:r w:rsidR="00CE2D22">
        <w:t xml:space="preserve"> </w:t>
      </w:r>
      <w:r>
        <w:t xml:space="preserve">day. </w:t>
      </w:r>
    </w:p>
    <w:p w:rsidR="00A44840" w:rsidRDefault="00D35F5E">
      <w:pPr>
        <w:pStyle w:val="a8"/>
      </w:pPr>
      <w:r>
        <w:t>We estimate the impact of the U</w:t>
      </w:r>
      <w:r w:rsidR="00CE2D22">
        <w:rPr>
          <w:rFonts w:hint="eastAsia"/>
        </w:rPr>
        <w:t>.</w:t>
      </w:r>
      <w:r>
        <w:t>S</w:t>
      </w:r>
      <w:r w:rsidR="00CE2D22">
        <w:rPr>
          <w:rFonts w:hint="eastAsia"/>
        </w:rPr>
        <w:t>.</w:t>
      </w:r>
      <w:r>
        <w:t xml:space="preserve"> market shock by regressing KOSPI 200 cash</w:t>
      </w:r>
      <w:r w:rsidR="00CE2D22">
        <w:rPr>
          <w:rFonts w:hint="eastAsia"/>
        </w:rPr>
        <w:t xml:space="preserve"> </w:t>
      </w:r>
      <w:r>
        <w:t>(futures) return at date t on the U</w:t>
      </w:r>
      <w:r w:rsidR="00CE2D22">
        <w:rPr>
          <w:rFonts w:hint="eastAsia"/>
        </w:rPr>
        <w:t>.</w:t>
      </w:r>
      <w:r>
        <w:t>S</w:t>
      </w:r>
      <w:r w:rsidR="00CE2D22">
        <w:rPr>
          <w:rFonts w:hint="eastAsia"/>
        </w:rPr>
        <w:t>.</w:t>
      </w:r>
      <w:r>
        <w:t xml:space="preserve"> stock return at date t-1 using equation (6). </w:t>
      </w: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k,t,j</m:t>
            </m:r>
          </m:sub>
        </m:sSub>
        <m:r>
          <m:rPr>
            <m:sty m:val="p"/>
          </m:rPr>
          <w:rPr>
            <w:rFonts w:ascii="Cambria Math"/>
          </w:rPr>
          <m:t>=a</m:t>
        </m:r>
        <m:sSub>
          <m:sSubPr>
            <m:ctrlPr>
              <w:rPr>
                <w:rFonts w:ascii="Cambria Math" w:hAnsi="Cambria Math"/>
              </w:rPr>
            </m:ctrlPr>
          </m:sSubPr>
          <m:e>
            <m:r>
              <m:rPr>
                <m:sty m:val="p"/>
              </m:rPr>
              <w:rPr>
                <w:rFonts w:ascii="Cambria Math"/>
              </w:rPr>
              <m:t> </m:t>
            </m:r>
          </m:e>
          <m:sub>
            <m:r>
              <m:rPr>
                <m:sty m:val="p"/>
              </m:rPr>
              <w:rPr>
                <w:rFonts w:ascii="Cambria Math"/>
              </w:rPr>
              <m:t>k,j</m:t>
            </m:r>
          </m:sub>
        </m:sSub>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ε</m:t>
            </m:r>
          </m:e>
          <m:sub>
            <m:r>
              <m:rPr>
                <m:sty m:val="p"/>
              </m:rPr>
              <w:rPr>
                <w:rFonts w:ascii="Cambria Math"/>
              </w:rPr>
              <m:t>k,t,j</m:t>
            </m:r>
          </m:sub>
        </m:sSub>
      </m:oMath>
      <w:r w:rsidR="00D35F5E">
        <w:t xml:space="preserve">                                      (6)</w:t>
      </w:r>
    </w:p>
    <w:p w:rsidR="00A44840" w:rsidRDefault="00D35F5E">
      <w:pPr>
        <w:pStyle w:val="ae"/>
      </w:pPr>
      <w:r>
        <w:t xml:space="preserve">Here, </w:t>
      </w:r>
      <m:oMath>
        <m:sSub>
          <m:sSubPr>
            <m:ctrlPr>
              <w:rPr>
                <w:rFonts w:ascii="Cambria Math" w:hAnsi="Cambria Math"/>
                <w:sz w:val="22"/>
                <w:szCs w:val="22"/>
              </w:rPr>
            </m:ctrlPr>
          </m:sSubPr>
          <m:e>
            <m:r>
              <m:rPr>
                <m:sty m:val="p"/>
              </m:rPr>
              <w:rPr>
                <w:rFonts w:ascii="Cambria Math"/>
                <w:sz w:val="22"/>
                <w:szCs w:val="22"/>
              </w:rPr>
              <m:t>r</m:t>
            </m:r>
          </m:e>
          <m:sub>
            <m:r>
              <m:rPr>
                <m:sty m:val="p"/>
              </m:rPr>
              <w:rPr>
                <w:rFonts w:ascii="Cambria Math"/>
                <w:sz w:val="22"/>
                <w:szCs w:val="22"/>
              </w:rPr>
              <m:t>k,t,j</m:t>
            </m:r>
          </m:sub>
        </m:sSub>
      </m:oMath>
      <w:r>
        <w:t xml:space="preserve"> is </w:t>
      </w:r>
      <w:r w:rsidR="0015743A">
        <w:rPr>
          <w:rFonts w:hint="eastAsia"/>
        </w:rPr>
        <w:t xml:space="preserve">the </w:t>
      </w:r>
      <w:r>
        <w:t>return on k (cash</w:t>
      </w:r>
      <w:r w:rsidR="0015743A">
        <w:rPr>
          <w:rFonts w:hint="eastAsia"/>
        </w:rPr>
        <w:t xml:space="preserve"> </w:t>
      </w:r>
      <w:r>
        <w:t>(or futures))</w:t>
      </w:r>
      <w:r w:rsidR="0015743A">
        <w:rPr>
          <w:rFonts w:hint="eastAsia"/>
        </w:rPr>
        <w:t xml:space="preserve"> </w:t>
      </w:r>
      <w:r>
        <w:t xml:space="preserve">at time j on date t. </w:t>
      </w:r>
      <m:oMath>
        <m:sSub>
          <m:sSubPr>
            <m:ctrlPr>
              <w:rPr>
                <w:rFonts w:ascii="Cambria Math" w:hAnsi="Cambria Math"/>
              </w:rPr>
            </m:ctrlPr>
          </m:sSubPr>
          <m:e>
            <m:r>
              <m:rPr>
                <m:sty m:val="p"/>
              </m:rPr>
              <w:rPr>
                <w:rFonts w:ascii="Cambria Math"/>
              </w:rPr>
              <m:t>a</m:t>
            </m:r>
          </m:e>
          <m:sub>
            <m:r>
              <m:rPr>
                <m:sty m:val="p"/>
              </m:rPr>
              <w:rPr>
                <w:rFonts w:ascii="Cambria Math"/>
              </w:rPr>
              <m:t>k,j</m:t>
            </m:r>
          </m:sub>
        </m:sSub>
      </m:oMath>
      <w:r>
        <w:t xml:space="preserve"> is the intercept, </w:t>
      </w:r>
      <m:oMath>
        <m:sSub>
          <m:sSubPr>
            <m:ctrlPr>
              <w:rPr>
                <w:rFonts w:ascii="Cambria Math" w:hAnsi="Cambria Math"/>
              </w:rPr>
            </m:ctrlPr>
          </m:sSubPr>
          <m:e>
            <m:r>
              <m:rPr>
                <m:sty m:val="p"/>
              </m:rPr>
              <w:rPr>
                <w:rFonts w:ascii="Cambria Math"/>
              </w:rPr>
              <m:t>b</m:t>
            </m:r>
          </m:e>
          <m:sub>
            <m:r>
              <m:rPr>
                <m:sty m:val="p"/>
              </m:rPr>
              <w:rPr>
                <w:rFonts w:ascii="Cambria Math"/>
              </w:rPr>
              <m:t>k,j</m:t>
            </m:r>
          </m:sub>
        </m:sSub>
      </m:oMath>
      <w:r>
        <w:t xml:space="preserve">is the slope and </w:t>
      </w:r>
      <m:oMath>
        <m:sSub>
          <m:sSubPr>
            <m:ctrlPr>
              <w:rPr>
                <w:rFonts w:ascii="Cambria Math" w:hAnsi="Cambria Math"/>
              </w:rPr>
            </m:ctrlPr>
          </m:sSubPr>
          <m:e>
            <m:r>
              <m:rPr>
                <m:sty m:val="p"/>
              </m:rPr>
              <w:rPr>
                <w:rFonts w:ascii="Cambria Math"/>
              </w:rPr>
              <m:t>ε</m:t>
            </m:r>
          </m:e>
          <m:sub>
            <m:r>
              <m:rPr>
                <m:sty m:val="p"/>
              </m:rPr>
              <w:rPr>
                <w:rFonts w:ascii="Cambria Math"/>
              </w:rPr>
              <m:t>k,t,j</m:t>
            </m:r>
          </m:sub>
        </m:sSub>
      </m:oMath>
      <w:r>
        <w:t xml:space="preserve">is </w:t>
      </w:r>
      <w:r w:rsidR="0015743A">
        <w:rPr>
          <w:rFonts w:hint="eastAsia"/>
        </w:rPr>
        <w:t>the</w:t>
      </w:r>
      <w:r>
        <w:t xml:space="preserve"> error term. </w:t>
      </w:r>
    </w:p>
    <w:p w:rsidR="00A44840" w:rsidRDefault="00D35F5E">
      <w:pPr>
        <w:pStyle w:val="a8"/>
      </w:pPr>
      <w:r>
        <w:t xml:space="preserve">Intercept  </w:t>
      </w:r>
      <m:oMath>
        <m:sSub>
          <m:sSubPr>
            <m:ctrlPr>
              <w:rPr>
                <w:rFonts w:ascii="Cambria Math" w:hAnsi="Cambria Math"/>
              </w:rPr>
            </m:ctrlPr>
          </m:sSubPr>
          <m:e>
            <m:r>
              <m:rPr>
                <m:sty m:val="p"/>
              </m:rPr>
              <w:rPr>
                <w:rFonts w:ascii="Cambria Math"/>
              </w:rPr>
              <m:t>a</m:t>
            </m:r>
          </m:e>
          <m:sub>
            <m:r>
              <m:rPr>
                <m:sty m:val="p"/>
              </m:rPr>
              <w:rPr>
                <w:rFonts w:ascii="Cambria Math"/>
              </w:rPr>
              <m:t>k,j</m:t>
            </m:r>
          </m:sub>
        </m:sSub>
      </m:oMath>
      <w:r>
        <w:t xml:space="preserve"> is determined after subtracting the impact of S&amp;P</w:t>
      </w:r>
      <w:r w:rsidR="0015743A">
        <w:rPr>
          <w:rFonts w:hint="eastAsia"/>
        </w:rPr>
        <w:t xml:space="preserve"> </w:t>
      </w:r>
      <w:r>
        <w:t xml:space="preserve">500 from the intraday effect in &lt;Figure 3&gt;. </w:t>
      </w:r>
      <w:bookmarkStart w:id="5" w:name="f_1112349427"/>
      <w:r>
        <w:rPr>
          <w:vertAlign w:val="superscript"/>
        </w:rPr>
        <w:footnoteReference w:id="10"/>
      </w:r>
      <w:bookmarkEnd w:id="5"/>
      <w:r>
        <w:t xml:space="preserve"> </w:t>
      </w:r>
    </w:p>
    <w:p w:rsidR="00A44840" w:rsidRDefault="00D35F5E">
      <w:pPr>
        <w:pStyle w:val="a8"/>
      </w:pPr>
      <w:r>
        <w:t xml:space="preserve"> </w:t>
      </w:r>
      <w:r w:rsidR="00C12F1D">
        <w:rPr>
          <w:rFonts w:hint="eastAsia"/>
        </w:rPr>
        <w:t>Further,</w:t>
      </w:r>
      <w:r w:rsidR="00C12F1D">
        <w:t xml:space="preserve">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oMath>
      <w:r>
        <w:t xml:space="preserve"> is interpreted as </w:t>
      </w:r>
      <w:r w:rsidR="00C12F1D">
        <w:rPr>
          <w:rFonts w:hint="eastAsia"/>
        </w:rPr>
        <w:t>the</w:t>
      </w:r>
      <w:r w:rsidR="00C12F1D">
        <w:t xml:space="preserve"> </w:t>
      </w:r>
      <w:r>
        <w:t>accumulated response of KOSPI 200 cash</w:t>
      </w:r>
      <w:r w:rsidR="00C12F1D">
        <w:rPr>
          <w:rFonts w:hint="eastAsia"/>
        </w:rPr>
        <w:t xml:space="preserve"> </w:t>
      </w:r>
      <w:r>
        <w:t xml:space="preserve">(or </w:t>
      </w:r>
      <w:r>
        <w:lastRenderedPageBreak/>
        <w:t xml:space="preserve">futures) </w:t>
      </w:r>
      <w:r w:rsidR="00C12F1D">
        <w:rPr>
          <w:rFonts w:hint="eastAsia"/>
        </w:rPr>
        <w:t>at</w:t>
      </w:r>
      <w:r w:rsidR="00C12F1D">
        <w:t xml:space="preserve"> </w:t>
      </w:r>
      <w:r>
        <w:t xml:space="preserve">time j </w:t>
      </w:r>
      <w:r w:rsidR="00C12F1D">
        <w:rPr>
          <w:rFonts w:hint="eastAsia"/>
        </w:rPr>
        <w:t>on</w:t>
      </w:r>
      <w:r w:rsidR="00C12F1D">
        <w:t xml:space="preserve"> </w:t>
      </w:r>
      <w:r>
        <w:t>date t to U</w:t>
      </w:r>
      <w:r w:rsidR="00C12F1D">
        <w:rPr>
          <w:rFonts w:hint="eastAsia"/>
        </w:rPr>
        <w:t>.</w:t>
      </w:r>
      <w:r>
        <w:t>S</w:t>
      </w:r>
      <w:r w:rsidR="00C12F1D">
        <w:rPr>
          <w:rFonts w:hint="eastAsia"/>
        </w:rPr>
        <w:t>.</w:t>
      </w:r>
      <w:r>
        <w:t xml:space="preserve"> stock</w:t>
      </w:r>
      <w:r w:rsidR="00AD5568">
        <w:rPr>
          <w:rFonts w:hint="eastAsia"/>
        </w:rPr>
        <w:t xml:space="preserve"> </w:t>
      </w:r>
      <w:r w:rsidR="00AD5568">
        <w:t>market</w:t>
      </w:r>
      <w:r>
        <w:t xml:space="preserve"> news </w:t>
      </w:r>
      <w:r w:rsidR="00C12F1D">
        <w:rPr>
          <w:rFonts w:hint="eastAsia"/>
        </w:rPr>
        <w:t>on</w:t>
      </w:r>
      <w:r w:rsidR="00C12F1D">
        <w:t xml:space="preserve"> </w:t>
      </w:r>
      <w:r>
        <w:t>date t-1 (daily change of S&amp;P</w:t>
      </w:r>
      <w:r w:rsidR="00C12F1D">
        <w:rPr>
          <w:rFonts w:hint="eastAsia"/>
        </w:rPr>
        <w:t xml:space="preserve"> </w:t>
      </w:r>
      <w:r>
        <w:t xml:space="preserve">500). We are interested </w:t>
      </w:r>
      <w:r w:rsidR="00C12F1D">
        <w:rPr>
          <w:rFonts w:hint="eastAsia"/>
        </w:rPr>
        <w:t>in</w:t>
      </w:r>
      <w:r w:rsidR="00C12F1D">
        <w:t xml:space="preserve"> </w:t>
      </w:r>
      <w:r>
        <w:t xml:space="preserve">the size and pattern </w:t>
      </w:r>
      <w:proofErr w:type="gramStart"/>
      <w:r>
        <w:t xml:space="preserve">of </w:t>
      </w:r>
      <w:proofErr w:type="gramEnd"/>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oMath>
      <w:r>
        <w:t>.</w:t>
      </w:r>
    </w:p>
    <w:p w:rsidR="00A44840" w:rsidRDefault="00D35F5E">
      <w:pPr>
        <w:pStyle w:val="a8"/>
      </w:pPr>
      <w:r>
        <w:t xml:space="preserve"> Additionally</w:t>
      </w:r>
      <w:r w:rsidR="002B18FF">
        <w:rPr>
          <w:rFonts w:hint="eastAsia"/>
        </w:rPr>
        <w:t>,</w:t>
      </w:r>
      <w:r>
        <w:t xml:space="preserve"> we define the difference between cash and futures returns in equation</w:t>
      </w:r>
      <w:r w:rsidR="002B18FF">
        <w:rPr>
          <w:rFonts w:hint="eastAsia"/>
        </w:rPr>
        <w:t xml:space="preserve"> </w:t>
      </w:r>
      <w:r>
        <w:t xml:space="preserve">(7) </w:t>
      </w:r>
      <w:r w:rsidR="002B18FF">
        <w:rPr>
          <w:rFonts w:hint="eastAsia"/>
        </w:rPr>
        <w:t xml:space="preserve">in order </w:t>
      </w:r>
      <w:r>
        <w:t>to see if the KOSPI 200 cash market responds differently from the KOSPI futures market to U</w:t>
      </w:r>
      <w:r w:rsidR="002B18FF">
        <w:rPr>
          <w:rFonts w:hint="eastAsia"/>
        </w:rPr>
        <w:t>.</w:t>
      </w:r>
      <w:r>
        <w:t>S</w:t>
      </w:r>
      <w:r w:rsidR="002B18FF">
        <w:rPr>
          <w:rFonts w:hint="eastAsia"/>
        </w:rPr>
        <w:t>.</w:t>
      </w:r>
      <w:r>
        <w:t xml:space="preserve"> market news. </w:t>
      </w:r>
    </w:p>
    <w:p w:rsidR="00A44840" w:rsidRDefault="004E4790">
      <w:pPr>
        <w:pStyle w:val="a8"/>
      </w:pPr>
      <m:oMath>
        <m:sSubSup>
          <m:sSubSupPr>
            <m:ctrlPr>
              <w:rPr>
                <w:rFonts w:ascii="Cambria Math" w:hAnsi="Cambria Math"/>
              </w:rPr>
            </m:ctrlPr>
          </m:sSubSupPr>
          <m:e>
            <m:r>
              <m:rPr>
                <m:sty m:val="p"/>
              </m:rPr>
              <w:rPr>
                <w:rFonts w:ascii="Cambria Math"/>
              </w:rPr>
              <m:t>r</m:t>
            </m:r>
          </m:e>
          <m:sub>
            <m:r>
              <m:rPr>
                <m:sty m:val="p"/>
              </m:rPr>
              <w:rPr>
                <w:rFonts w:ascii="Cambria Math"/>
              </w:rPr>
              <m:t>t,j</m:t>
            </m:r>
          </m:sub>
          <m:sup>
            <m:r>
              <m:rPr>
                <m:sty m:val="p"/>
              </m:rPr>
              <w:rPr>
                <w:rFonts w:ascii="Cambria Math"/>
              </w:rPr>
              <m:t>*</m:t>
            </m:r>
          </m:sup>
        </m:sSubSup>
        <m:r>
          <m:rPr>
            <m:sty m:val="p"/>
          </m:rPr>
          <w:rPr>
            <w:rFonts w:ascii="Cambria Math"/>
          </w:rPr>
          <m:t>=</m:t>
        </m:r>
        <m:sSub>
          <m:sSubPr>
            <m:ctrlPr>
              <w:rPr>
                <w:rFonts w:ascii="Cambria Math" w:hAnsi="Cambria Math"/>
              </w:rPr>
            </m:ctrlPr>
          </m:sSubPr>
          <m:e>
            <m:r>
              <m:rPr>
                <m:sty m:val="p"/>
              </m:rPr>
              <w:rPr>
                <w:rFonts w:ascii="Cambria Math"/>
              </w:rPr>
              <m:t>r</m:t>
            </m:r>
          </m:e>
          <m:sub>
            <m:r>
              <m:rPr>
                <m:sty m:val="p"/>
              </m:rPr>
              <w:rPr>
                <w:rFonts w:ascii="Cambria Math"/>
              </w:rPr>
              <m:t>S,t,j</m:t>
            </m:r>
          </m:sub>
        </m:sSub>
        <m:r>
          <m:rPr>
            <m:sty m:val="p"/>
          </m:rPr>
          <w:rPr>
            <w:rFonts w:ascii="Cambria Math"/>
          </w:rPr>
          <m:t>-</m:t>
        </m:r>
        <m:sSub>
          <m:sSubPr>
            <m:ctrlPr>
              <w:rPr>
                <w:rFonts w:ascii="Cambria Math" w:hAnsi="Cambria Math"/>
              </w:rPr>
            </m:ctrlPr>
          </m:sSubPr>
          <m:e>
            <m:r>
              <m:rPr>
                <m:sty m:val="p"/>
              </m:rPr>
              <w:rPr>
                <w:rFonts w:ascii="Cambria Math"/>
              </w:rPr>
              <m:t>r</m:t>
            </m:r>
          </m:e>
          <m:sub>
            <m:r>
              <m:rPr>
                <m:sty m:val="p"/>
              </m:rPr>
              <w:rPr>
                <w:rFonts w:ascii="Cambria Math"/>
              </w:rPr>
              <m:t>F,t,j</m:t>
            </m:r>
          </m:sub>
        </m:sSub>
      </m:oMath>
      <w:r w:rsidR="00D35F5E">
        <w:t xml:space="preserve">                                                (7)</w:t>
      </w:r>
    </w:p>
    <w:p w:rsidR="00A44840" w:rsidRDefault="00D35F5E">
      <w:pPr>
        <w:pStyle w:val="a8"/>
      </w:pPr>
      <w:r>
        <w:t xml:space="preserve">Here,  </w:t>
      </w:r>
      <m:oMath>
        <m:sSub>
          <m:sSubPr>
            <m:ctrlPr>
              <w:rPr>
                <w:rFonts w:ascii="Cambria Math" w:hAnsi="Cambria Math"/>
                <w:sz w:val="18"/>
                <w:szCs w:val="18"/>
              </w:rPr>
            </m:ctrlPr>
          </m:sSubPr>
          <m:e>
            <m:r>
              <m:rPr>
                <m:sty m:val="p"/>
              </m:rPr>
              <w:rPr>
                <w:rFonts w:ascii="Cambria Math"/>
                <w:sz w:val="18"/>
                <w:szCs w:val="18"/>
              </w:rPr>
              <m:t>r</m:t>
            </m:r>
          </m:e>
          <m:sub>
            <m:r>
              <m:rPr>
                <m:sty m:val="p"/>
              </m:rPr>
              <w:rPr>
                <w:rFonts w:ascii="Cambria Math"/>
                <w:sz w:val="18"/>
                <w:szCs w:val="18"/>
              </w:rPr>
              <m:t>S,t,15:05</m:t>
            </m:r>
          </m:sub>
        </m:sSub>
      </m:oMath>
      <w:r>
        <w:t xml:space="preserve"> and  </w:t>
      </w:r>
      <m:oMath>
        <m:sSub>
          <m:sSubPr>
            <m:ctrlPr>
              <w:rPr>
                <w:rFonts w:ascii="Cambria Math" w:hAnsi="Cambria Math"/>
                <w:sz w:val="18"/>
                <w:szCs w:val="18"/>
              </w:rPr>
            </m:ctrlPr>
          </m:sSubPr>
          <m:e>
            <m:r>
              <m:rPr>
                <m:sty m:val="p"/>
              </m:rPr>
              <w:rPr>
                <w:rFonts w:ascii="Cambria Math"/>
                <w:sz w:val="18"/>
                <w:szCs w:val="18"/>
              </w:rPr>
              <m:t>r</m:t>
            </m:r>
          </m:e>
          <m:sub>
            <m:r>
              <m:rPr>
                <m:sty m:val="p"/>
              </m:rPr>
              <w:rPr>
                <w:rFonts w:ascii="Cambria Math"/>
                <w:sz w:val="18"/>
                <w:szCs w:val="18"/>
              </w:rPr>
              <m:t>S,t,15:15</m:t>
            </m:r>
          </m:sub>
        </m:sSub>
      </m:oMath>
      <w:r>
        <w:t xml:space="preserve"> are replaced by  </w:t>
      </w:r>
      <m:oMath>
        <m:sSub>
          <m:sSubPr>
            <m:ctrlPr>
              <w:rPr>
                <w:rFonts w:ascii="Cambria Math" w:hAnsi="Cambria Math"/>
                <w:sz w:val="18"/>
                <w:szCs w:val="18"/>
              </w:rPr>
            </m:ctrlPr>
          </m:sSubPr>
          <m:e>
            <m:r>
              <m:rPr>
                <m:sty m:val="p"/>
              </m:rPr>
              <w:rPr>
                <w:rFonts w:ascii="Cambria Math"/>
                <w:sz w:val="18"/>
                <w:szCs w:val="18"/>
              </w:rPr>
              <m:t>r</m:t>
            </m:r>
          </m:e>
          <m:sub>
            <m:r>
              <m:rPr>
                <m:sty m:val="p"/>
              </m:rPr>
              <w:rPr>
                <w:rFonts w:ascii="Cambria Math"/>
                <w:sz w:val="18"/>
                <w:szCs w:val="18"/>
              </w:rPr>
              <m:t>S,t,15:00</m:t>
            </m:r>
          </m:sub>
        </m:sSub>
      </m:oMath>
      <w:r>
        <w:t xml:space="preserve"> as they are the returns after the market closes. Then</w:t>
      </w:r>
      <w:r w:rsidR="00AD5568">
        <w:rPr>
          <w:rFonts w:hint="eastAsia"/>
        </w:rPr>
        <w:t>,</w:t>
      </w:r>
      <w:r>
        <w:t xml:space="preserve"> we estimate the regression using equation (8). </w:t>
      </w:r>
    </w:p>
    <w:p w:rsidR="00A44840" w:rsidRDefault="00A44840">
      <w:pPr>
        <w:pStyle w:val="a8"/>
      </w:pPr>
    </w:p>
    <w:p w:rsidR="00A44840" w:rsidRDefault="004E4790">
      <w:pPr>
        <w:pStyle w:val="a8"/>
      </w:pPr>
      <m:oMath>
        <m:sSubSup>
          <m:sSubSupPr>
            <m:ctrlPr>
              <w:rPr>
                <w:rFonts w:ascii="Cambria Math" w:hAnsi="Cambria Math"/>
              </w:rPr>
            </m:ctrlPr>
          </m:sSubSupPr>
          <m:e>
            <m:r>
              <m:rPr>
                <m:sty m:val="p"/>
              </m:rPr>
              <w:rPr>
                <w:rFonts w:ascii="Cambria Math"/>
              </w:rPr>
              <m:t>r</m:t>
            </m:r>
          </m:e>
          <m:sub>
            <m:r>
              <m:rPr>
                <m:sty m:val="p"/>
              </m:rPr>
              <w:rPr>
                <w:rFonts w:ascii="Cambria Math"/>
              </w:rPr>
              <m:t>t,j</m:t>
            </m:r>
          </m:sub>
          <m:sup>
            <m:r>
              <m:rPr>
                <m:sty m:val="p"/>
              </m:rPr>
              <w:rPr>
                <w:rFonts w:ascii="Cambria Math"/>
              </w:rPr>
              <m:t>*</m:t>
            </m:r>
          </m:sup>
        </m:sSubSup>
        <m:r>
          <m:rPr>
            <m:sty m:val="p"/>
          </m:rPr>
          <w:rPr>
            <w:rFonts w:ascii="Cambria Math"/>
          </w:rPr>
          <m:t>=</m:t>
        </m:r>
        <m:sSubSup>
          <m:sSubSupPr>
            <m:ctrlPr>
              <w:rPr>
                <w:rFonts w:ascii="Cambria Math" w:hAnsi="Cambria Math"/>
              </w:rPr>
            </m:ctrlPr>
          </m:sSubSupPr>
          <m:e>
            <m:r>
              <m:rPr>
                <m:sty m:val="p"/>
              </m:rPr>
              <w:rPr>
                <w:rFonts w:ascii="Cambria Math"/>
              </w:rPr>
              <m:t>a</m:t>
            </m:r>
          </m:e>
          <m:sub>
            <m:r>
              <m:rPr>
                <m:sty m:val="p"/>
              </m:rPr>
              <w:rPr>
                <w:rFonts w:ascii="Cambria Math"/>
              </w:rPr>
              <m:t>j</m:t>
            </m:r>
          </m:sub>
          <m:sup>
            <m:r>
              <m:rPr>
                <m:sty m:val="p"/>
              </m:rPr>
              <w:rPr>
                <w:rFonts w:ascii="Cambria Math"/>
              </w:rPr>
              <m:t>*</m:t>
            </m:r>
          </m:sup>
        </m:sSubSup>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j</m:t>
            </m:r>
          </m:sub>
          <m:sup>
            <m:r>
              <m:rPr>
                <m:sty m:val="p"/>
              </m:rPr>
              <w:rPr>
                <w:rFonts w:ascii="Cambria Math"/>
              </w:rPr>
              <m:t>*</m:t>
            </m:r>
          </m:sup>
        </m:sSubSup>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Sup>
          <m:sSubSupPr>
            <m:ctrlPr>
              <w:rPr>
                <w:rFonts w:ascii="Cambria Math" w:hAnsi="Cambria Math"/>
              </w:rPr>
            </m:ctrlPr>
          </m:sSubSupPr>
          <m:e>
            <m:r>
              <m:rPr>
                <m:sty m:val="p"/>
              </m:rPr>
              <w:rPr>
                <w:rFonts w:ascii="Cambria Math"/>
              </w:rPr>
              <m:t>ε</m:t>
            </m:r>
          </m:e>
          <m:sub>
            <m:r>
              <m:rPr>
                <m:sty m:val="p"/>
              </m:rPr>
              <w:rPr>
                <w:rFonts w:ascii="Cambria Math"/>
              </w:rPr>
              <m:t>t,j</m:t>
            </m:r>
          </m:sub>
          <m:sup>
            <m:r>
              <m:rPr>
                <m:sty m:val="p"/>
              </m:rPr>
              <w:rPr>
                <w:rFonts w:ascii="Cambria Math"/>
              </w:rPr>
              <m:t>*</m:t>
            </m:r>
          </m:sup>
        </m:sSubSup>
      </m:oMath>
      <w:r w:rsidR="00D35F5E">
        <w:t xml:space="preserve">                                          (8)</w:t>
      </w:r>
    </w:p>
    <w:p w:rsidR="00A44840" w:rsidRDefault="00D35F5E">
      <w:pPr>
        <w:pStyle w:val="ae"/>
      </w:pPr>
      <w:r>
        <w:t xml:space="preserve">Here, </w:t>
      </w:r>
      <m:oMath>
        <m:sSubSup>
          <m:sSubSupPr>
            <m:ctrlPr>
              <w:rPr>
                <w:rFonts w:ascii="Cambria Math" w:hAnsi="Cambria Math"/>
              </w:rPr>
            </m:ctrlPr>
          </m:sSubSupPr>
          <m:e>
            <m:r>
              <m:rPr>
                <m:sty m:val="p"/>
              </m:rPr>
              <w:rPr>
                <w:rFonts w:ascii="Cambria Math"/>
              </w:rPr>
              <m:t>a</m:t>
            </m:r>
          </m:e>
          <m:sub>
            <m:r>
              <m:rPr>
                <m:sty m:val="p"/>
              </m:rPr>
              <w:rPr>
                <w:rFonts w:ascii="Cambria Math"/>
              </w:rPr>
              <m:t>j</m:t>
            </m:r>
          </m:sub>
          <m:sup>
            <m:r>
              <m:rPr>
                <m:sty m:val="p"/>
              </m:rPr>
              <w:rPr>
                <w:rFonts w:ascii="Cambria Math"/>
              </w:rPr>
              <m:t>*</m:t>
            </m:r>
          </m:sup>
        </m:sSubSup>
      </m:oMath>
      <w:r>
        <w:t xml:space="preserve"> is </w:t>
      </w:r>
      <w:r w:rsidR="00A75D20">
        <w:rPr>
          <w:rFonts w:hint="eastAsia"/>
        </w:rPr>
        <w:t xml:space="preserve">the </w:t>
      </w:r>
      <w:r>
        <w:t xml:space="preserve">intercept,  </w:t>
      </w:r>
      <m:oMath>
        <m:sSubSup>
          <m:sSubSupPr>
            <m:ctrlPr>
              <w:rPr>
                <w:rFonts w:ascii="Cambria Math" w:hAnsi="Cambria Math"/>
              </w:rPr>
            </m:ctrlPr>
          </m:sSubSupPr>
          <m:e>
            <m:r>
              <m:rPr>
                <m:sty m:val="p"/>
              </m:rPr>
              <w:rPr>
                <w:rFonts w:ascii="Cambria Math"/>
              </w:rPr>
              <m:t>b</m:t>
            </m:r>
          </m:e>
          <m:sub>
            <m:r>
              <m:rPr>
                <m:sty m:val="p"/>
              </m:rPr>
              <w:rPr>
                <w:rFonts w:ascii="Cambria Math"/>
              </w:rPr>
              <m:t>j</m:t>
            </m:r>
          </m:sub>
          <m:sup>
            <m:r>
              <m:rPr>
                <m:sty m:val="p"/>
              </m:rPr>
              <w:rPr>
                <w:rFonts w:ascii="Cambria Math"/>
              </w:rPr>
              <m:t>*</m:t>
            </m:r>
          </m:sup>
        </m:sSubSup>
      </m:oMath>
      <w:r>
        <w:t xml:space="preserve"> is </w:t>
      </w:r>
      <w:r w:rsidR="00A75D20">
        <w:rPr>
          <w:rFonts w:hint="eastAsia"/>
        </w:rPr>
        <w:t xml:space="preserve">the </w:t>
      </w:r>
      <w:r>
        <w:t xml:space="preserve">slope, and  </w:t>
      </w:r>
      <m:oMath>
        <m:sSubSup>
          <m:sSubSupPr>
            <m:ctrlPr>
              <w:rPr>
                <w:rFonts w:ascii="Cambria Math" w:hAnsi="Cambria Math"/>
              </w:rPr>
            </m:ctrlPr>
          </m:sSubSupPr>
          <m:e>
            <m:r>
              <m:rPr>
                <m:sty m:val="p"/>
              </m:rPr>
              <w:rPr>
                <w:rFonts w:ascii="Cambria Math"/>
              </w:rPr>
              <m:t>ε</m:t>
            </m:r>
          </m:e>
          <m:sub>
            <m:r>
              <m:rPr>
                <m:sty m:val="p"/>
              </m:rPr>
              <w:rPr>
                <w:rFonts w:ascii="Cambria Math"/>
              </w:rPr>
              <m:t>t,j</m:t>
            </m:r>
          </m:sub>
          <m:sup>
            <m:r>
              <m:rPr>
                <m:sty m:val="p"/>
              </m:rPr>
              <w:rPr>
                <w:rFonts w:ascii="Cambria Math"/>
              </w:rPr>
              <m:t>*</m:t>
            </m:r>
          </m:sup>
        </m:sSubSup>
      </m:oMath>
      <w:r>
        <w:t xml:space="preserve"> is </w:t>
      </w:r>
      <w:r w:rsidR="00A75D20">
        <w:rPr>
          <w:rFonts w:hint="eastAsia"/>
        </w:rPr>
        <w:t>the</w:t>
      </w:r>
      <w:r w:rsidR="00A75D20">
        <w:t xml:space="preserve"> </w:t>
      </w:r>
      <w:r>
        <w:t xml:space="preserve">error term. </w:t>
      </w:r>
    </w:p>
    <w:p w:rsidR="00A44840" w:rsidRDefault="00D35F5E">
      <w:pPr>
        <w:pStyle w:val="a8"/>
      </w:pPr>
      <w:r>
        <w:t xml:space="preserve">By </w:t>
      </w:r>
      <w:r w:rsidR="00A75D20">
        <w:t xml:space="preserve">placing </w:t>
      </w:r>
      <w:r>
        <w:t xml:space="preserve">equation (6) into equation (7), we can </w:t>
      </w:r>
      <w:r w:rsidR="00A75D20">
        <w:rPr>
          <w:rFonts w:hint="eastAsia"/>
        </w:rPr>
        <w:t>observe</w:t>
      </w:r>
      <w:r w:rsidR="00A75D20">
        <w:t xml:space="preserve"> </w:t>
      </w:r>
      <w:r>
        <w:t xml:space="preserve">that </w:t>
      </w:r>
      <m:oMath>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j</m:t>
            </m:r>
          </m:sub>
          <m:sup>
            <m:r>
              <m:rPr>
                <m:sty m:val="p"/>
              </m:rPr>
              <w:rPr>
                <w:rFonts w:ascii="Cambria Math"/>
              </w:rPr>
              <m:t>*</m:t>
            </m:r>
          </m:sup>
        </m:sSubSup>
      </m:oMath>
      <w:r>
        <w:t xml:space="preserve"> in equation (8) is the same </w:t>
      </w:r>
      <w:proofErr w:type="gramStart"/>
      <w:r>
        <w:t xml:space="preserve">as </w:t>
      </w:r>
      <w:proofErr w:type="gramEnd"/>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S,j</m:t>
            </m:r>
          </m:sub>
        </m:sSub>
        <m:r>
          <m:rPr>
            <m:sty m:val="p"/>
          </m:rPr>
          <w:rPr>
            <w:rFonts w:ascii="Cambria Math"/>
          </w:rPr>
          <m:t>-</m:t>
        </m:r>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F,j</m:t>
            </m:r>
          </m:sub>
        </m:sSub>
      </m:oMath>
      <w:r>
        <w:t>. Namely</w:t>
      </w:r>
      <w:r w:rsidR="00A75D20">
        <w:rPr>
          <w:rFonts w:hint="eastAsia"/>
        </w:rPr>
        <w:t>,</w:t>
      </w:r>
      <w:r>
        <w:t xml:space="preserve">  </w:t>
      </w:r>
      <m:oMath>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j</m:t>
            </m:r>
          </m:sub>
          <m:sup>
            <m:r>
              <m:rPr>
                <m:sty m:val="p"/>
              </m:rPr>
              <w:rPr>
                <w:rFonts w:ascii="Cambria Math"/>
              </w:rPr>
              <m:t>*</m:t>
            </m:r>
          </m:sup>
        </m:sSubSup>
      </m:oMath>
      <w:r>
        <w:t xml:space="preserve"> estimates the difference between spot and futures in response to U</w:t>
      </w:r>
      <w:r w:rsidR="00A75D20">
        <w:rPr>
          <w:rFonts w:hint="eastAsia"/>
        </w:rPr>
        <w:t>.</w:t>
      </w:r>
      <w:r>
        <w:t>S</w:t>
      </w:r>
      <w:r w:rsidR="00A75D20">
        <w:rPr>
          <w:rFonts w:hint="eastAsia"/>
        </w:rPr>
        <w:t>.</w:t>
      </w:r>
      <w:r>
        <w:t xml:space="preserve"> market new</w:t>
      </w:r>
      <w:r w:rsidR="00A75D20">
        <w:rPr>
          <w:rFonts w:hint="eastAsia"/>
        </w:rPr>
        <w:t>s</w:t>
      </w:r>
      <w:r>
        <w:t xml:space="preserve">. If </w:t>
      </w:r>
      <m:oMath>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j</m:t>
            </m:r>
          </m:sub>
          <m:sup>
            <m:r>
              <m:rPr>
                <m:sty m:val="p"/>
              </m:rPr>
              <w:rPr>
                <w:rFonts w:ascii="Cambria Math"/>
              </w:rPr>
              <m:t>*</m:t>
            </m:r>
          </m:sup>
        </m:sSubSup>
      </m:oMath>
      <w:r>
        <w:t xml:space="preserve"> is significantly different from 0, we can infer that the two market respond differently to U</w:t>
      </w:r>
      <w:r w:rsidR="00A75D20">
        <w:rPr>
          <w:rFonts w:hint="eastAsia"/>
        </w:rPr>
        <w:t>.</w:t>
      </w:r>
      <w:r>
        <w:t>S</w:t>
      </w:r>
      <w:r w:rsidR="00A75D20">
        <w:rPr>
          <w:rFonts w:hint="eastAsia"/>
        </w:rPr>
        <w:t>.</w:t>
      </w:r>
      <w:r>
        <w:t xml:space="preserve"> market news. </w:t>
      </w:r>
    </w:p>
    <w:p w:rsidR="00A44840" w:rsidRDefault="00D35F5E">
      <w:pPr>
        <w:pStyle w:val="a8"/>
      </w:pPr>
      <w:r>
        <w:t xml:space="preserve"> </w:t>
      </w:r>
    </w:p>
    <w:p w:rsidR="00A44840" w:rsidRDefault="00D35F5E">
      <w:pPr>
        <w:pStyle w:val="ac"/>
      </w:pPr>
      <w:r>
        <w:t xml:space="preserve">2) Estimation results for the </w:t>
      </w:r>
      <w:r w:rsidR="003230B7">
        <w:rPr>
          <w:rFonts w:hint="eastAsia"/>
        </w:rPr>
        <w:t>entire</w:t>
      </w:r>
      <w:r w:rsidR="003230B7">
        <w:t xml:space="preserve"> </w:t>
      </w:r>
      <w:r>
        <w:t>period</w:t>
      </w:r>
    </w:p>
    <w:p w:rsidR="00A44840" w:rsidRDefault="00D35F5E">
      <w:pPr>
        <w:pStyle w:val="a8"/>
      </w:pPr>
      <w:r>
        <w:t>&lt;Appendix C&gt;</w:t>
      </w:r>
      <w:r w:rsidR="00CE60C5">
        <w:rPr>
          <w:rFonts w:hint="eastAsia"/>
        </w:rPr>
        <w:t xml:space="preserve"> </w:t>
      </w:r>
      <w:r>
        <w:t>and &lt;Appendix D&gt; are the summary of the results of equation (6) and (8).  The first panel in &lt;Appendix C&gt; is the result of equation</w:t>
      </w:r>
      <w:r w:rsidR="00CE60C5">
        <w:rPr>
          <w:rFonts w:hint="eastAsia"/>
        </w:rPr>
        <w:t xml:space="preserve"> </w:t>
      </w:r>
      <w:r>
        <w:t xml:space="preserve">(6) for the </w:t>
      </w:r>
      <w:r w:rsidR="003230B7">
        <w:rPr>
          <w:rFonts w:hint="eastAsia"/>
        </w:rPr>
        <w:t>entire</w:t>
      </w:r>
      <w:r w:rsidR="003230B7">
        <w:t xml:space="preserve"> </w:t>
      </w:r>
      <w:r>
        <w:t>period and</w:t>
      </w:r>
      <w:r w:rsidR="00CE60C5">
        <w:rPr>
          <w:rFonts w:hint="eastAsia"/>
        </w:rPr>
        <w:t xml:space="preserve"> is</w:t>
      </w:r>
      <w:r>
        <w:t xml:space="preserve"> depicted in &lt;Figure 5&gt;. As was expected</w:t>
      </w:r>
      <w:r w:rsidR="00CE60C5">
        <w:rPr>
          <w:rFonts w:hint="eastAsia"/>
        </w:rPr>
        <w:t>,</w:t>
      </w:r>
      <w:r>
        <w:t xml:space="preserve"> the impact of the U</w:t>
      </w:r>
      <w:r w:rsidR="00CE60C5">
        <w:rPr>
          <w:rFonts w:hint="eastAsia"/>
        </w:rPr>
        <w:t>.</w:t>
      </w:r>
      <w:r>
        <w:t>S</w:t>
      </w:r>
      <w:r w:rsidR="00CE60C5">
        <w:rPr>
          <w:rFonts w:hint="eastAsia"/>
        </w:rPr>
        <w:t>.</w:t>
      </w:r>
      <w:r>
        <w:t xml:space="preserve"> market on the Korean market is very significant. Specifically at the opening,</w:t>
      </w:r>
      <w:r w:rsidR="00CE60C5">
        <w:rPr>
          <w:rFonts w:hint="eastAsia"/>
        </w:rPr>
        <w:t xml:space="preserve"> </w:t>
      </w:r>
      <m:oMath>
        <m:sSup>
          <m:sSupPr>
            <m:ctrlPr>
              <w:rPr>
                <w:rFonts w:ascii="Cambria Math" w:hAnsi="Cambria Math"/>
              </w:rPr>
            </m:ctrlPr>
          </m:sSupPr>
          <m:e>
            <m:r>
              <m:rPr>
                <m:sty m:val="p"/>
              </m:rPr>
              <w:rPr>
                <w:rFonts w:ascii="Cambria Math"/>
              </w:rPr>
              <m:t>R</m:t>
            </m:r>
          </m:e>
          <m:sup>
            <m:r>
              <m:rPr>
                <m:sty m:val="p"/>
              </m:rPr>
              <w:rPr>
                <w:rFonts w:ascii="Cambria Math"/>
              </w:rPr>
              <m:t>2</m:t>
            </m:r>
          </m:sup>
        </m:sSup>
      </m:oMath>
      <w:r>
        <w:t xml:space="preserve"> for the cash market is 0.53, </w:t>
      </w:r>
      <w:r w:rsidR="000B49FF">
        <w:rPr>
          <w:rFonts w:hint="eastAsia"/>
        </w:rPr>
        <w:t xml:space="preserve">whereas </w:t>
      </w:r>
      <m:oMath>
        <m:sSup>
          <m:sSupPr>
            <m:ctrlPr>
              <w:rPr>
                <w:rFonts w:ascii="Cambria Math" w:hAnsi="Cambria Math"/>
              </w:rPr>
            </m:ctrlPr>
          </m:sSupPr>
          <m:e>
            <m:r>
              <m:rPr>
                <m:sty m:val="p"/>
              </m:rPr>
              <w:rPr>
                <w:rFonts w:ascii="Cambria Math"/>
              </w:rPr>
              <m:t>R</m:t>
            </m:r>
          </m:e>
          <m:sup>
            <m:r>
              <m:rPr>
                <m:sty m:val="p"/>
              </m:rPr>
              <w:rPr>
                <w:rFonts w:ascii="Cambria Math"/>
              </w:rPr>
              <m:t>2</m:t>
            </m:r>
          </m:sup>
        </m:sSup>
      </m:oMath>
      <w:r>
        <w:t xml:space="preserve"> for the futures market is 0.19, which implies that more than 50% of </w:t>
      </w:r>
      <w:r w:rsidR="00CE60C5">
        <w:rPr>
          <w:rFonts w:hint="eastAsia"/>
        </w:rPr>
        <w:t xml:space="preserve">the </w:t>
      </w:r>
      <w:r>
        <w:t xml:space="preserve">volatility </w:t>
      </w:r>
      <w:r w:rsidR="00CE60C5">
        <w:rPr>
          <w:rFonts w:hint="eastAsia"/>
        </w:rPr>
        <w:t xml:space="preserve">in </w:t>
      </w:r>
      <w:r>
        <w:t>the Korean cash market is explained by U</w:t>
      </w:r>
      <w:r w:rsidR="00CE60C5">
        <w:rPr>
          <w:rFonts w:hint="eastAsia"/>
        </w:rPr>
        <w:t>.</w:t>
      </w:r>
      <w:r>
        <w:t>S</w:t>
      </w:r>
      <w:r w:rsidR="00CE60C5">
        <w:rPr>
          <w:rFonts w:hint="eastAsia"/>
        </w:rPr>
        <w:t>.</w:t>
      </w:r>
      <w:r>
        <w:t xml:space="preserve"> market news. </w:t>
      </w:r>
      <m:oMath>
        <m:sSup>
          <m:sSupPr>
            <m:ctrlPr>
              <w:rPr>
                <w:rFonts w:ascii="Cambria Math" w:hAnsi="Cambria Math"/>
              </w:rPr>
            </m:ctrlPr>
          </m:sSupPr>
          <m:e>
            <m:r>
              <m:rPr>
                <m:sty m:val="p"/>
              </m:rPr>
              <w:rPr>
                <w:rFonts w:ascii="Cambria Math"/>
              </w:rPr>
              <m:t>R</m:t>
            </m:r>
          </m:e>
          <m:sup>
            <m:r>
              <m:rPr>
                <m:sty m:val="p"/>
              </m:rPr>
              <w:rPr>
                <w:rFonts w:ascii="Cambria Math"/>
              </w:rPr>
              <m:t>2</m:t>
            </m:r>
          </m:sup>
        </m:sSup>
      </m:oMath>
      <w:r w:rsidR="000B49FF">
        <w:t xml:space="preserve"> </w:t>
      </w:r>
      <w:proofErr w:type="gramStart"/>
      <w:r w:rsidR="000B49FF">
        <w:t>decrease</w:t>
      </w:r>
      <w:r w:rsidR="000B49FF">
        <w:rPr>
          <w:rFonts w:hint="eastAsia"/>
        </w:rPr>
        <w:t>s</w:t>
      </w:r>
      <w:proofErr w:type="gramEnd"/>
      <w:r>
        <w:t xml:space="preserve"> as time </w:t>
      </w:r>
      <w:r w:rsidR="0076712F">
        <w:rPr>
          <w:rFonts w:hint="eastAsia"/>
        </w:rPr>
        <w:t>passes</w:t>
      </w:r>
      <w:r>
        <w:t xml:space="preserve"> as information other than the U</w:t>
      </w:r>
      <w:r w:rsidR="0076712F">
        <w:rPr>
          <w:rFonts w:hint="eastAsia"/>
        </w:rPr>
        <w:t>.</w:t>
      </w:r>
      <w:r>
        <w:t>S</w:t>
      </w:r>
      <w:r w:rsidR="0076712F">
        <w:rPr>
          <w:rFonts w:hint="eastAsia"/>
        </w:rPr>
        <w:t>.</w:t>
      </w:r>
      <w:r>
        <w:t xml:space="preserve"> stock price news is reflected on the spot and futures price</w:t>
      </w:r>
      <w:r w:rsidR="000B49FF">
        <w:rPr>
          <w:rFonts w:hint="eastAsia"/>
        </w:rPr>
        <w:t>s</w:t>
      </w:r>
      <w:r>
        <w:t xml:space="preserve">. </w:t>
      </w:r>
      <m:oMath>
        <m:sSup>
          <m:sSupPr>
            <m:ctrlPr>
              <w:rPr>
                <w:rFonts w:ascii="Cambria Math" w:hAnsi="Cambria Math"/>
              </w:rPr>
            </m:ctrlPr>
          </m:sSupPr>
          <m:e>
            <m:r>
              <m:rPr>
                <m:sty m:val="p"/>
              </m:rPr>
              <w:rPr>
                <w:rFonts w:ascii="Cambria Math"/>
              </w:rPr>
              <m:t>R</m:t>
            </m:r>
          </m:e>
          <m:sup>
            <m:r>
              <m:rPr>
                <m:sty m:val="p"/>
              </m:rPr>
              <w:rPr>
                <w:rFonts w:ascii="Cambria Math"/>
              </w:rPr>
              <m:t>2</m:t>
            </m:r>
          </m:sup>
        </m:sSup>
      </m:oMath>
      <w:r>
        <w:t xml:space="preserve"> </w:t>
      </w:r>
      <w:proofErr w:type="gramStart"/>
      <w:r>
        <w:t>at</w:t>
      </w:r>
      <w:proofErr w:type="gramEnd"/>
      <w:r>
        <w:t xml:space="preserve"> the closing time </w:t>
      </w:r>
      <w:r w:rsidR="0076712F">
        <w:rPr>
          <w:rFonts w:hint="eastAsia"/>
        </w:rPr>
        <w:t>is</w:t>
      </w:r>
      <w:r w:rsidR="0076712F">
        <w:t xml:space="preserve">  </w:t>
      </w:r>
      <w:r>
        <w:t xml:space="preserve">0.14 for the cash market and 0.08 for the futures market, which are </w:t>
      </w:r>
      <w:r w:rsidR="0076712F">
        <w:rPr>
          <w:rFonts w:hint="eastAsia"/>
        </w:rPr>
        <w:t xml:space="preserve">both </w:t>
      </w:r>
      <w:r>
        <w:t>significant when considering</w:t>
      </w:r>
      <w:r w:rsidR="0076712F">
        <w:rPr>
          <w:rFonts w:hint="eastAsia"/>
        </w:rPr>
        <w:t xml:space="preserve"> the </w:t>
      </w:r>
      <w:r>
        <w:t xml:space="preserve">sample size. </w:t>
      </w:r>
      <w:bookmarkStart w:id="6" w:name="f_7"/>
      <w:r>
        <w:rPr>
          <w:rStyle w:val="a6"/>
        </w:rPr>
        <w:footnoteReference w:id="11"/>
      </w:r>
      <w:bookmarkEnd w:id="6"/>
    </w:p>
    <w:p w:rsidR="00A44840" w:rsidRDefault="00D35F5E">
      <w:pPr>
        <w:pStyle w:val="a8"/>
      </w:pPr>
      <w:r>
        <w:t xml:space="preserve">We are interested at the significance and changing patterns of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oMath>
      <w:r>
        <w:t xml:space="preserve"> over time. The first panel in &lt;Appendix C&gt; </w:t>
      </w:r>
      <w:r w:rsidR="00525058">
        <w:rPr>
          <w:rFonts w:hint="eastAsia"/>
        </w:rPr>
        <w:t xml:space="preserve">reveals </w:t>
      </w:r>
      <w:r>
        <w:t xml:space="preserve">that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oMath>
      <w:r>
        <w:t xml:space="preserve"> </w:t>
      </w:r>
      <w:r w:rsidR="00525058">
        <w:rPr>
          <w:rFonts w:hint="eastAsia"/>
        </w:rPr>
        <w:t xml:space="preserve">is </w:t>
      </w:r>
      <w:r>
        <w:t>significantly positive for both cash and futures, which implies that U</w:t>
      </w:r>
      <w:r w:rsidR="00525058">
        <w:rPr>
          <w:rFonts w:hint="eastAsia"/>
        </w:rPr>
        <w:t>.</w:t>
      </w:r>
      <w:r>
        <w:t>S</w:t>
      </w:r>
      <w:r w:rsidR="00525058">
        <w:rPr>
          <w:rFonts w:hint="eastAsia"/>
        </w:rPr>
        <w:t>.</w:t>
      </w:r>
      <w:r>
        <w:t xml:space="preserve"> stock market news is </w:t>
      </w:r>
      <w:r w:rsidR="00525058">
        <w:rPr>
          <w:rFonts w:hint="eastAsia"/>
        </w:rPr>
        <w:t xml:space="preserve">a </w:t>
      </w:r>
      <w:r>
        <w:t xml:space="preserve">very important source of information to the Korean market. </w:t>
      </w:r>
    </w:p>
    <w:p w:rsidR="00A44840" w:rsidRDefault="00DB38D4">
      <w:pPr>
        <w:pStyle w:val="a8"/>
      </w:pPr>
      <w:r>
        <w:rPr>
          <w:rFonts w:hint="eastAsia"/>
        </w:rPr>
        <w:t>In order t</w:t>
      </w:r>
      <w:r>
        <w:t xml:space="preserve">o </w:t>
      </w:r>
      <w:r w:rsidR="00D35F5E">
        <w:t xml:space="preserve">see how </w:t>
      </w:r>
      <w:r>
        <w:rPr>
          <w:rFonts w:hint="eastAsia"/>
        </w:rPr>
        <w:t xml:space="preserve">the </w:t>
      </w:r>
      <w:r w:rsidR="00D35F5E">
        <w:t>KOSPI cash and futures respond to the U</w:t>
      </w:r>
      <w:r>
        <w:rPr>
          <w:rFonts w:hint="eastAsia"/>
        </w:rPr>
        <w:t>.</w:t>
      </w:r>
      <w:r w:rsidR="00D35F5E">
        <w:t>S</w:t>
      </w:r>
      <w:r>
        <w:rPr>
          <w:rFonts w:hint="eastAsia"/>
        </w:rPr>
        <w:t>.</w:t>
      </w:r>
      <w:r w:rsidR="00D35F5E">
        <w:t xml:space="preserve"> stock market news, we need to look into the patterns of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oMath>
      <w:r w:rsidR="00D35F5E">
        <w:t xml:space="preserve"> during </w:t>
      </w:r>
      <w:r>
        <w:rPr>
          <w:rFonts w:hint="eastAsia"/>
        </w:rPr>
        <w:t xml:space="preserve">the </w:t>
      </w:r>
      <w:r w:rsidR="00D35F5E">
        <w:t xml:space="preserve">day. </w:t>
      </w:r>
      <w:r>
        <w:rPr>
          <w:rFonts w:hint="eastAsia"/>
        </w:rPr>
        <w:t>The o</w:t>
      </w:r>
      <w:r>
        <w:t xml:space="preserve">pening </w:t>
      </w:r>
      <w:r w:rsidR="00D35F5E">
        <w:t>price response estimates</w:t>
      </w:r>
      <w:r w:rsidR="006B03CF">
        <w:rPr>
          <w:rFonts w:hint="eastAsia"/>
        </w:rPr>
        <w:t xml:space="preserve">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S,9:00</m:t>
            </m:r>
          </m:sub>
        </m:sSub>
      </m:oMath>
      <w:r w:rsidR="00D35F5E">
        <w:t xml:space="preserve"> </w:t>
      </w:r>
      <w:proofErr w:type="gramStart"/>
      <w:r w:rsidR="00D35F5E">
        <w:t xml:space="preserve">and </w:t>
      </w:r>
      <w:proofErr w:type="gramEnd"/>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F,9:00</m:t>
            </m:r>
          </m:sub>
        </m:sSub>
      </m:oMath>
      <w:r w:rsidR="006B03CF">
        <w:rPr>
          <w:rFonts w:hint="eastAsia"/>
        </w:rPr>
        <w:t>)</w:t>
      </w:r>
      <w:r w:rsidR="00D35F5E">
        <w:t xml:space="preserve"> are 0.6223 and 0.5548</w:t>
      </w:r>
      <w:r w:rsidR="00152C28">
        <w:rPr>
          <w:rFonts w:hint="eastAsia"/>
        </w:rPr>
        <w:t>,</w:t>
      </w:r>
      <w:r w:rsidR="00D35F5E">
        <w:t xml:space="preserve"> respectively. </w:t>
      </w:r>
      <w:r w:rsidR="00152C28">
        <w:rPr>
          <w:rFonts w:hint="eastAsia"/>
        </w:rPr>
        <w:t>The c</w:t>
      </w:r>
      <w:r w:rsidR="00152C28">
        <w:t xml:space="preserve">losing </w:t>
      </w:r>
      <w:r w:rsidR="00D35F5E">
        <w:t xml:space="preserve">price </w:t>
      </w:r>
      <w:proofErr w:type="gramStart"/>
      <w:r w:rsidR="00D35F5E">
        <w:t>response estimates</w:t>
      </w:r>
      <w:r w:rsidR="006B03CF">
        <w:rPr>
          <w:rFonts w:hint="eastAsia"/>
        </w:rPr>
        <w:t xml:space="preserve">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S,15:00</m:t>
            </m:r>
          </m:sub>
        </m:sSub>
      </m:oMath>
      <w:r w:rsidR="00D35F5E">
        <w:t xml:space="preserve"> and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F,15:15</m:t>
            </m:r>
          </m:sub>
        </m:sSub>
      </m:oMath>
      <w:r w:rsidR="00D35F5E">
        <w:t xml:space="preserve"> </w:t>
      </w:r>
      <w:r w:rsidR="006B03CF">
        <w:rPr>
          <w:rFonts w:hint="eastAsia"/>
        </w:rPr>
        <w:t>)</w:t>
      </w:r>
      <w:r w:rsidR="000B49FF">
        <w:rPr>
          <w:rFonts w:hint="eastAsia"/>
        </w:rPr>
        <w:t xml:space="preserve"> </w:t>
      </w:r>
      <w:r w:rsidR="00D35F5E">
        <w:t>are</w:t>
      </w:r>
      <w:proofErr w:type="gramEnd"/>
      <w:r w:rsidR="00D35F5E">
        <w:t xml:space="preserve"> 0.4631 and 0.4453</w:t>
      </w:r>
      <w:r w:rsidR="00152C28">
        <w:rPr>
          <w:rFonts w:hint="eastAsia"/>
        </w:rPr>
        <w:t>,</w:t>
      </w:r>
      <w:r w:rsidR="00D35F5E">
        <w:t xml:space="preserve"> respectively. As the opening price responses are greater than the closing price responses, we may conclude that the opening prices over react to U</w:t>
      </w:r>
      <w:r w:rsidR="00152C28">
        <w:rPr>
          <w:rFonts w:hint="eastAsia"/>
        </w:rPr>
        <w:t>.</w:t>
      </w:r>
      <w:r w:rsidR="00D35F5E">
        <w:t>S</w:t>
      </w:r>
      <w:r w:rsidR="00152C28">
        <w:rPr>
          <w:rFonts w:hint="eastAsia"/>
        </w:rPr>
        <w:t>.</w:t>
      </w:r>
      <w:r w:rsidR="00D35F5E">
        <w:t xml:space="preserve"> market news. </w:t>
      </w:r>
    </w:p>
    <w:p w:rsidR="00A44840" w:rsidRDefault="00D35F5E">
      <w:pPr>
        <w:pStyle w:val="a8"/>
      </w:pPr>
      <w:r>
        <w:lastRenderedPageBreak/>
        <w:t xml:space="preserve">The overreaction of </w:t>
      </w:r>
      <w:r w:rsidR="0029485A">
        <w:rPr>
          <w:rFonts w:hint="eastAsia"/>
        </w:rPr>
        <w:t xml:space="preserve">the </w:t>
      </w:r>
      <w:r>
        <w:t xml:space="preserve">opening prices slowly decrease as time goes on. &lt;Figure 5&gt; </w:t>
      </w:r>
      <w:r w:rsidR="0029485A">
        <w:rPr>
          <w:rFonts w:hint="eastAsia"/>
        </w:rPr>
        <w:t>identifies</w:t>
      </w:r>
      <w:r w:rsidR="0029485A">
        <w:t xml:space="preserve"> </w:t>
      </w:r>
      <w:r>
        <w:t xml:space="preserve">the decreasing process, which is slow and monotone as </w:t>
      </w:r>
      <w:r w:rsidR="0029485A">
        <w:rPr>
          <w:rFonts w:hint="eastAsia"/>
        </w:rPr>
        <w:t>it approaches</w:t>
      </w:r>
      <w:r>
        <w:t xml:space="preserve"> closing</w:t>
      </w:r>
      <w:r w:rsidR="0029485A">
        <w:rPr>
          <w:rFonts w:hint="eastAsia"/>
        </w:rPr>
        <w:t xml:space="preserve"> time</w:t>
      </w:r>
      <w:r>
        <w:t xml:space="preserve">. The </w:t>
      </w:r>
      <w:r w:rsidR="0029485A">
        <w:t>intraday</w:t>
      </w:r>
      <w:r>
        <w:t xml:space="preserve"> magnitude of change is measure</w:t>
      </w:r>
      <w:r w:rsidR="0029485A">
        <w:rPr>
          <w:rFonts w:hint="eastAsia"/>
        </w:rPr>
        <w:t>d</w:t>
      </w:r>
      <w:r>
        <w:t xml:space="preserve"> </w:t>
      </w:r>
      <w:proofErr w:type="gramStart"/>
      <w:r>
        <w:t xml:space="preserve">by </w:t>
      </w:r>
      <w:proofErr w:type="gramEnd"/>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k,day</m:t>
            </m:r>
          </m:sub>
        </m:sSub>
      </m:oMath>
      <w:r>
        <w:t xml:space="preserve">, which is the regression coefficient on  </w:t>
      </w:r>
      <m:oMath>
        <m:sSub>
          <m:sSubPr>
            <m:ctrlPr>
              <w:rPr>
                <w:rFonts w:ascii="Cambria Math" w:hAnsi="Cambria Math"/>
              </w:rPr>
            </m:ctrlPr>
          </m:sSubPr>
          <m:e>
            <m:r>
              <m:rPr>
                <m:sty m:val="p"/>
              </m:rPr>
              <w:rPr>
                <w:rFonts w:ascii="Cambria Math"/>
              </w:rPr>
              <m:t>r</m:t>
            </m:r>
          </m:e>
          <m:sub>
            <m:r>
              <m:rPr>
                <m:sty m:val="p"/>
              </m:rPr>
              <w:rPr>
                <w:rFonts w:ascii="Cambria Math"/>
              </w:rPr>
              <m:t>k,day</m:t>
            </m:r>
          </m:sub>
        </m:sSub>
      </m:oMath>
      <w:r>
        <w:t xml:space="preserve">(= </w:t>
      </w:r>
      <m:oMath>
        <m:sSub>
          <m:sSubPr>
            <m:ctrlPr>
              <w:rPr>
                <w:rFonts w:ascii="Cambria Math" w:hAnsi="Cambria Math"/>
              </w:rPr>
            </m:ctrlPr>
          </m:sSubPr>
          <m:e>
            <m:r>
              <m:rPr>
                <m:sty m:val="p"/>
              </m:rPr>
              <w:rPr>
                <w:rFonts w:ascii="Cambria Math"/>
              </w:rPr>
              <m:t>r</m:t>
            </m:r>
          </m:e>
          <m:sub>
            <m:d>
              <m:dPr>
                <m:begChr m:val="〖"/>
                <m:ctrlPr>
                  <w:rPr>
                    <w:rFonts w:ascii="Cambria Math" w:hAnsi="Cambria Math"/>
                  </w:rPr>
                </m:ctrlPr>
              </m:dPr>
              <m:e>
                <m:r>
                  <m:rPr>
                    <m:sty m:val="p"/>
                  </m:rPr>
                  <w:rPr>
                    <w:rFonts w:ascii="Cambria Math"/>
                  </w:rPr>
                  <m:t>S,15:00</m:t>
                </m:r>
              </m:e>
            </m:d>
          </m:sub>
        </m:sSub>
        <m:r>
          <m:rPr>
            <m:sty m:val="p"/>
          </m:rPr>
          <w:rPr>
            <w:rFonts w:ascii="Cambria Math"/>
          </w:rPr>
          <m:t>–</m:t>
        </m:r>
        <m:sSub>
          <m:sSubPr>
            <m:ctrlPr>
              <w:rPr>
                <w:rFonts w:ascii="Cambria Math" w:hAnsi="Cambria Math"/>
              </w:rPr>
            </m:ctrlPr>
          </m:sSubPr>
          <m:e>
            <m:r>
              <m:rPr>
                <m:sty m:val="p"/>
              </m:rPr>
              <w:rPr>
                <w:rFonts w:ascii="Cambria Math"/>
              </w:rPr>
              <m:t>r</m:t>
            </m:r>
          </m:e>
          <m:sub>
            <m:r>
              <m:rPr>
                <m:sty m:val="p"/>
              </m:rPr>
              <w:rPr>
                <w:rFonts w:ascii="Cambria Math"/>
              </w:rPr>
              <m:t>S,9:00</m:t>
            </m:r>
          </m:sub>
        </m:sSub>
      </m:oMath>
      <w:r>
        <w:t xml:space="preserve"> or </w:t>
      </w:r>
      <m:oMath>
        <m:sSub>
          <m:sSubPr>
            <m:ctrlPr>
              <w:rPr>
                <w:rFonts w:ascii="Cambria Math" w:hAnsi="Cambria Math"/>
              </w:rPr>
            </m:ctrlPr>
          </m:sSubPr>
          <m:e>
            <m:r>
              <m:rPr>
                <m:sty m:val="p"/>
              </m:rPr>
              <w:rPr>
                <w:rFonts w:ascii="Cambria Math"/>
              </w:rPr>
              <m:t>r</m:t>
            </m:r>
          </m:e>
          <m:sub>
            <m:d>
              <m:dPr>
                <m:begChr m:val="〖"/>
                <m:ctrlPr>
                  <w:rPr>
                    <w:rFonts w:ascii="Cambria Math" w:hAnsi="Cambria Math"/>
                  </w:rPr>
                </m:ctrlPr>
              </m:dPr>
              <m:e>
                <m:r>
                  <m:rPr>
                    <m:sty m:val="p"/>
                  </m:rPr>
                  <w:rPr>
                    <w:rFonts w:ascii="Cambria Math"/>
                  </w:rPr>
                  <m:t>F,15:15</m:t>
                </m:r>
              </m:e>
            </m:d>
          </m:sub>
        </m:sSub>
        <m:r>
          <m:rPr>
            <m:sty m:val="p"/>
          </m:rPr>
          <w:rPr>
            <w:rFonts w:ascii="Cambria Math"/>
          </w:rPr>
          <m:t>–</m:t>
        </m:r>
        <m:sSub>
          <m:sSubPr>
            <m:ctrlPr>
              <w:rPr>
                <w:rFonts w:ascii="Cambria Math" w:hAnsi="Cambria Math"/>
              </w:rPr>
            </m:ctrlPr>
          </m:sSubPr>
          <m:e>
            <m:r>
              <m:rPr>
                <m:sty m:val="p"/>
              </m:rPr>
              <w:rPr>
                <w:rFonts w:ascii="Cambria Math"/>
              </w:rPr>
              <m:t>r</m:t>
            </m:r>
          </m:e>
          <m:sub>
            <m:r>
              <m:rPr>
                <m:sty m:val="p"/>
              </m:rPr>
              <w:rPr>
                <w:rFonts w:ascii="Cambria Math"/>
              </w:rPr>
              <m:t>F,9:00</m:t>
            </m:r>
          </m:sub>
        </m:sSub>
      </m:oMath>
      <w:r>
        <w:t xml:space="preserve">). For the cash market,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S,day</m:t>
            </m:r>
          </m:sub>
        </m:sSub>
      </m:oMath>
      <w:r w:rsidR="003D65C8">
        <w:t xml:space="preserve"> estimates is </w:t>
      </w:r>
      <w:r>
        <w:t>–</w:t>
      </w:r>
      <w:proofErr w:type="gramStart"/>
      <w:r>
        <w:t>0.1592 ,</w:t>
      </w:r>
      <w:proofErr w:type="gramEnd"/>
      <w:r>
        <w:t xml:space="preserve"> and for the futures market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F,day</m:t>
            </m:r>
          </m:sub>
        </m:sSub>
      </m:oMath>
      <w:r>
        <w:t xml:space="preserve"> is </w:t>
      </w:r>
      <w:r>
        <w:t>–</w:t>
      </w:r>
      <w:r>
        <w:t xml:space="preserve">0.1095, which are statistically significant.  This implies that the overreaction at the opening decreases as time </w:t>
      </w:r>
      <w:r w:rsidR="00F45819">
        <w:rPr>
          <w:rFonts w:hint="eastAsia"/>
        </w:rPr>
        <w:t>passes</w:t>
      </w:r>
      <w:r>
        <w:t xml:space="preserve"> and the magnitude of change is greater in the cash market than in the futures market.  </w:t>
      </w:r>
    </w:p>
    <w:p w:rsidR="00A44840" w:rsidRDefault="00D35F5E">
      <w:pPr>
        <w:pStyle w:val="a8"/>
      </w:pPr>
      <w:r>
        <w:t xml:space="preserve">&lt;Appendix C&gt; and &lt;Figure 5&gt; have some implications </w:t>
      </w:r>
      <w:r w:rsidR="00F45819">
        <w:rPr>
          <w:rFonts w:hint="eastAsia"/>
        </w:rPr>
        <w:t>regarding</w:t>
      </w:r>
      <w:r w:rsidR="00F45819">
        <w:t xml:space="preserve"> </w:t>
      </w:r>
      <w:r>
        <w:t>the lead and lag patterns in the cash and futures market. &lt;Figure 5&gt;</w:t>
      </w:r>
      <w:r w:rsidR="00F45819">
        <w:rPr>
          <w:rFonts w:hint="eastAsia"/>
        </w:rPr>
        <w:t xml:space="preserve"> </w:t>
      </w:r>
      <w:r w:rsidR="006D1612">
        <w:rPr>
          <w:rFonts w:hint="eastAsia"/>
        </w:rPr>
        <w:t>indicates</w:t>
      </w:r>
      <w:r w:rsidR="006D1612">
        <w:t xml:space="preserve"> </w:t>
      </w:r>
      <w:r>
        <w:t xml:space="preserve">that the spot and futures patterns are very similar, which negates any arguments </w:t>
      </w:r>
      <w:r w:rsidR="00F45819">
        <w:rPr>
          <w:rFonts w:hint="eastAsia"/>
        </w:rPr>
        <w:t>on the</w:t>
      </w:r>
      <w:r>
        <w:t xml:space="preserve"> leads and lags between the two markets. It is not easy to determine whether the cash market leads or lags the futures market or vice versa</w:t>
      </w:r>
      <w:r w:rsidR="006D1612">
        <w:rPr>
          <w:rFonts w:hint="eastAsia"/>
        </w:rPr>
        <w:t>,</w:t>
      </w:r>
      <w:r>
        <w:t xml:space="preserve"> as far as the impacts of the U</w:t>
      </w:r>
      <w:r w:rsidR="006D1612">
        <w:rPr>
          <w:rFonts w:hint="eastAsia"/>
        </w:rPr>
        <w:t>.</w:t>
      </w:r>
      <w:r>
        <w:t>S</w:t>
      </w:r>
      <w:r w:rsidR="006D1612">
        <w:rPr>
          <w:rFonts w:hint="eastAsia"/>
        </w:rPr>
        <w:t>.</w:t>
      </w:r>
      <w:r>
        <w:t xml:space="preserve"> market on the Korean market are concerned. </w:t>
      </w:r>
    </w:p>
    <w:p w:rsidR="00A44840" w:rsidRDefault="00D35F5E">
      <w:pPr>
        <w:pStyle w:val="a8"/>
      </w:pPr>
      <w:r>
        <w:t>From &lt;Appendix C&gt;</w:t>
      </w:r>
      <w:r w:rsidR="006D1612">
        <w:rPr>
          <w:rFonts w:hint="eastAsia"/>
        </w:rPr>
        <w:t xml:space="preserve"> </w:t>
      </w:r>
      <w:r>
        <w:t>and &lt;Figure 5&gt;, we conclude that</w:t>
      </w:r>
      <w:r w:rsidR="006D1612">
        <w:rPr>
          <w:rFonts w:hint="eastAsia"/>
        </w:rPr>
        <w:t xml:space="preserve"> the</w:t>
      </w:r>
      <w:r>
        <w:t xml:space="preserve"> cash market response is greater than the futures market response. </w:t>
      </w:r>
      <w:r w:rsidR="006D1612">
        <w:rPr>
          <w:rFonts w:hint="eastAsia"/>
        </w:rPr>
        <w:t>However,</w:t>
      </w:r>
      <w:r w:rsidR="006D1612">
        <w:t xml:space="preserve"> </w:t>
      </w:r>
      <w:r>
        <w:t xml:space="preserve">whether the difference between the two markets </w:t>
      </w:r>
      <w:r w:rsidR="006D1612">
        <w:rPr>
          <w:rFonts w:hint="eastAsia"/>
        </w:rPr>
        <w:t xml:space="preserve">is </w:t>
      </w:r>
      <w:r>
        <w:t>statistically significant should be judged by the results in equation (8). Panel b</w:t>
      </w:r>
      <w:r>
        <w:rPr>
          <w:vertAlign w:val="superscript"/>
        </w:rPr>
        <w:t xml:space="preserve">* </w:t>
      </w:r>
      <w:r>
        <w:t xml:space="preserve">&lt;Appendix D&gt; shows the estimates of equation (8). </w:t>
      </w:r>
      <w:r w:rsidR="006D1612">
        <w:rPr>
          <w:rFonts w:hint="eastAsia"/>
        </w:rPr>
        <w:t>The o</w:t>
      </w:r>
      <w:r w:rsidR="006D1612">
        <w:t xml:space="preserve">pening </w:t>
      </w:r>
      <w:r>
        <w:t xml:space="preserve">price difference </w:t>
      </w:r>
      <m:oMath>
        <m:r>
          <m:rPr>
            <m:sty m:val="p"/>
          </m:rPr>
          <w:rPr>
            <w:rFonts w:ascii="Cambria Math"/>
          </w:rPr>
          <m:t>b</m:t>
        </m:r>
        <m:r>
          <m:rPr>
            <m:sty m:val="p"/>
          </m:rPr>
          <w:rPr>
            <w:rFonts w:ascii="Cambria Math"/>
          </w:rPr>
          <m:t> </m:t>
        </m:r>
        <m:r>
          <m:rPr>
            <m:sty m:val="p"/>
          </m:rPr>
          <w:rPr>
            <w:rFonts w:ascii="Cambria Math"/>
          </w:rPr>
          <m:t>_</m:t>
        </m:r>
        <m:r>
          <m:rPr>
            <m:sty m:val="p"/>
          </m:rPr>
          <w:rPr>
            <w:rFonts w:ascii="Cambria Math"/>
          </w:rPr>
          <m:t>〖</m:t>
        </m:r>
        <m:r>
          <m:rPr>
            <m:sty m:val="p"/>
          </m:rPr>
          <w:rPr>
            <w:rFonts w:ascii="Cambria Math"/>
          </w:rPr>
          <m:t>9:00</m:t>
        </m:r>
        <m:r>
          <m:rPr>
            <m:sty m:val="p"/>
          </m:rPr>
          <w:rPr>
            <w:rFonts w:ascii="Cambria Math"/>
          </w:rPr>
          <m:t>〗</m:t>
        </m:r>
        <m:r>
          <m:rPr>
            <m:sty m:val="p"/>
          </m:rPr>
          <w:rPr>
            <w:rFonts w:ascii="Cambria Math"/>
          </w:rPr>
          <m:t>^</m:t>
        </m:r>
        <m:r>
          <m:rPr>
            <m:sty m:val="p"/>
          </m:rPr>
          <w:rPr>
            <w:rFonts w:ascii="Cambria Math"/>
          </w:rPr>
          <m:t>*</m:t>
        </m:r>
        <m:r>
          <m:rPr>
            <m:sty m:val="p"/>
          </m:rPr>
          <w:rPr>
            <w:rFonts w:ascii="Cambria Math"/>
          </w:rPr>
          <m:t xml:space="preserve"> </m:t>
        </m:r>
      </m:oMath>
      <w:r>
        <w:t xml:space="preserve"> is 0.0675, which is statistically significant. The estimate decreases as time </w:t>
      </w:r>
      <w:r w:rsidR="006D1612">
        <w:rPr>
          <w:rFonts w:hint="eastAsia"/>
        </w:rPr>
        <w:t>passes</w:t>
      </w:r>
      <w:r>
        <w:t xml:space="preserve"> and is indifferent from 0 after 14:15. We check the robustness of this result by dividing the </w:t>
      </w:r>
      <w:r w:rsidR="003230B7">
        <w:rPr>
          <w:rFonts w:hint="eastAsia"/>
        </w:rPr>
        <w:t>entire</w:t>
      </w:r>
      <w:r w:rsidR="003230B7">
        <w:t xml:space="preserve"> </w:t>
      </w:r>
      <w:r>
        <w:t>period into two sub</w:t>
      </w:r>
      <w:r w:rsidR="006D1612">
        <w:rPr>
          <w:rFonts w:hint="eastAsia"/>
        </w:rPr>
        <w:t>-</w:t>
      </w:r>
      <w:r>
        <w:t>periods.</w:t>
      </w:r>
    </w:p>
    <w:p w:rsidR="00A44840" w:rsidRPr="006D1612" w:rsidRDefault="00A44840">
      <w:pPr>
        <w:pStyle w:val="a8"/>
      </w:pPr>
    </w:p>
    <w:p w:rsidR="00A44840" w:rsidRDefault="004E4790">
      <w:pPr>
        <w:pStyle w:val="af1"/>
      </w:pPr>
      <w:r>
        <w:rPr>
          <w:noProof/>
        </w:rPr>
      </w:r>
      <w:r>
        <w:rPr>
          <w:noProof/>
        </w:rPr>
        <w:pict>
          <v:rect id="_x0000_s1113037320" o:spid="_x0000_s1035" alt="설명: 그림입니다. 원본 그림의 이름: CLP000015c004a1.bmp 원본 그림의 크기: 가로 772pixel, 세로 425pixel" style="width:483.6pt;height:271.9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LTHMAMAAC0GAAAOAAAAZHJzL2Uyb0RvYy54bWysVE9r3EYUvxf6HYY5VyuNLK12heXg7Fql&#10;4CYGt+cwK41WQ6QZMTO21i2FFhII5NJjoXWhEHLKIdBCfMgn8jrfIW9m/9jrXEJbHcSbN29+79/v&#10;vf0Hi7ZB50xpLkWGySDAiIlCllzMM/z9d7k3wkgbKkraSMEyfME0fnDw5Rf7fZeyUNayKZlCACJ0&#10;2ncZro3pUt/XRc1aqgeyYwIuK6laauCo5n6paA/obeOHQTD0e6nKTsmCaQ3a6eoSHzj8qmKFeVxV&#10;mhnUZBhiM+6v3H9m//7BPk3ninY1L9Zh0H8RRUu5AKdbqCk1FJ0p/glUywsltazMoJCtL6uKF8zl&#10;ANmQ4F42pzXtmMsFiqO7bZn0/wdbPDo/UYiX0LsEI0Fb6NGTRQDfE00I2Qv2kr0QClcyXUDZrt9d&#10;LV+/v/nz+fLli+XLVwN08/uvy7+v0Fp/+Ru6ufxn+fpZiibHJxaFxEUQRJQMZm33qfGHX95cX71N&#10;0fXbn5d//YGSJOz4gjVfoZtnV1YRhbFT2Db1nU4h2tPuRNlC6+5YFk81EnJSUzFnh0rJvma0hOIQ&#10;a+/vPLAHDU/RrP9WlpAkPTPSdWxRqdYCQi/QwhHjYksMtjCoAOWQhEEyjDEq4G5IklEcOxc03bzu&#10;lDZfM9kiK2RYAfEcOj0/1sZGQ9ONiXUmZM6bxpGvETsKMFxpwDc8tXc2CselH8fB+Gh0NIq8KBwe&#10;eVEwnXqH+STyhjlJ4unedDKZkp+sXxKlNS9LJqybDa9J9Hm8WU/YipFbZmvZ8NLC2ZC0ms8mjULn&#10;FOYqd9+6IHfM/N0wXBEgl3spkTAKHoZjLx+OEi/Ko9gbJ8HIC8j44XgYRONomu+mdMwF++8poT7D&#10;4ziMXZfuBH0vN8vhwK0JaMyOWcsNbK6GtxkebY1oail4JErXWkN5s5LvlMKGf1sKQN002hHWcnTF&#10;dbOYLdxgOqpZ/s5keQEMVhIIBiMJWxeEWqofMOphg2VYwIrFqPlGwAzYZbcR1EaYbQQqCniYYYPR&#10;SpyY1VI86xSf14BLVoXpDmFOcu4ofBvDerpgJ7lM1vvTLr27Z2d1u+UPPgIAAP//AwBQSwMEFAAG&#10;AAgAAAAhAC8G4wHWAAAABQEAAA8AAABkcnMvZG93bnJldi54bWxMj81qwzAQhO+FvIPYQm+N1BxK&#10;cC2HUgikpZc4fQDFWv9QaddISuy8fZRSaC/LDrPMflNuZu/EGUMcmDQ8LRUIpIbtQJ2Gr8P2cQ0i&#10;JkPWOCbUcMEIm2pxV5rC8kR7PNepEzmEYmE09CmNhZSx6dGbuOQRKXstB29SlqGTNpgph3snV0o9&#10;S28Gyh96M+Jbj813ffIa5KHeTuvaBcUfq/bTve/2LbLWD/fz6wuIhHP6O4YbfkaHKjMd+UQ2Cqch&#10;F0k/8+YpleXxd5FVKf/TV1cAAAD//wMAUEsBAi0AFAAGAAgAAAAhALaDOJL+AAAA4QEAABMAAAAA&#10;AAAAAAAAAAAAAAAAAFtDb250ZW50X1R5cGVzXS54bWxQSwECLQAUAAYACAAAACEAOP0h/9YAAACU&#10;AQAACwAAAAAAAAAAAAAAAAAvAQAAX3JlbHMvLnJlbHNQSwECLQAUAAYACAAAACEA4Ty0xzADAAAt&#10;BgAADgAAAAAAAAAAAAAAAAAuAgAAZHJzL2Uyb0RvYy54bWxQSwECLQAUAAYACAAAACEALwbjAdYA&#10;AAAFAQAADwAAAAAAAAAAAAAAAACKBQAAZHJzL2Rvd25yZXYueG1sUEsFBgAAAAAEAAQA8wAAAI0G&#10;AAAAAA==&#10;" filled="f" stroked="f">
            <v:textbox inset="0,0,0,0">
              <w:txbxContent>
                <w:p w:rsidR="006B03CF" w:rsidRDefault="006B03CF">
                  <w:pPr>
                    <w:pStyle w:val="af1"/>
                  </w:pPr>
                  <w:r>
                    <w:rPr>
                      <w:noProof/>
                    </w:rPr>
                    <w:drawing>
                      <wp:inline distT="0" distB="0" distL="0" distR="0">
                        <wp:extent cx="5238750" cy="2831536"/>
                        <wp:effectExtent l="19050" t="0" r="0" b="0"/>
                        <wp:docPr id="18" name="그림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srcRect/>
                                <a:stretch>
                                  <a:fillRect/>
                                </a:stretch>
                              </pic:blipFill>
                              <pic:spPr bwMode="auto">
                                <a:xfrm>
                                  <a:off x="0" y="0"/>
                                  <a:ext cx="5244575" cy="2834684"/>
                                </a:xfrm>
                                <a:prstGeom prst="rect">
                                  <a:avLst/>
                                </a:prstGeom>
                                <a:noFill/>
                                <a:ln w="9525">
                                  <a:noFill/>
                                  <a:miter lim="800000"/>
                                  <a:headEnd/>
                                  <a:tailEnd/>
                                </a:ln>
                              </pic:spPr>
                            </pic:pic>
                          </a:graphicData>
                        </a:graphic>
                      </wp:inline>
                    </w:drawing>
                  </w:r>
                </w:p>
                <w:p w:rsidR="006B03CF" w:rsidRDefault="006B03CF">
                  <w:pPr>
                    <w:pStyle w:val="af1"/>
                  </w:pPr>
                  <w:r>
                    <w:t xml:space="preserve">&lt;Figure </w:t>
                  </w:r>
                  <w:r>
                    <w:fldChar w:fldCharType="begin"/>
                  </w:r>
                  <w:r>
                    <w:instrText>SEQ 그림\* ARABIC\r 5</w:instrText>
                  </w:r>
                  <w:r>
                    <w:fldChar w:fldCharType="separate"/>
                  </w:r>
                  <w:r>
                    <w:rPr>
                      <w:noProof/>
                    </w:rPr>
                    <w:t>5</w:t>
                  </w:r>
                  <w:r>
                    <w:rPr>
                      <w:noProof/>
                    </w:rPr>
                    <w:fldChar w:fldCharType="end"/>
                  </w:r>
                  <w:r>
                    <w:t xml:space="preserve">&gt; Price response of spot and futures: </w:t>
                  </w:r>
                  <w:r>
                    <w:rPr>
                      <w:rFonts w:hint="eastAsia"/>
                    </w:rPr>
                    <w:t>Entire</w:t>
                  </w:r>
                  <w:r>
                    <w:t xml:space="preserve"> period</w:t>
                  </w:r>
                </w:p>
                <w:p w:rsidR="006B03CF" w:rsidRDefault="006B03CF">
                  <w:pPr>
                    <w:pStyle w:val="af"/>
                  </w:pPr>
                  <w:r>
                    <w:t xml:space="preserve">Each line is the continuation of </w:t>
                  </w:r>
                  <w:proofErr w:type="gramStart"/>
                  <w:r>
                    <w:t>b</w:t>
                  </w:r>
                  <w:r>
                    <w:t>’</w:t>
                  </w:r>
                  <w:r>
                    <w:t>s</w:t>
                  </w:r>
                  <w:proofErr w:type="gramEnd"/>
                  <w:r>
                    <w:t xml:space="preserve"> </w:t>
                  </w:r>
                  <w:r>
                    <w:rPr>
                      <w:rFonts w:hint="eastAsia"/>
                    </w:rPr>
                    <w:t>in</w:t>
                  </w:r>
                  <w:r>
                    <w:t xml:space="preserve"> the first panel of &lt;Appendix C&gt;. The difference is the continuation of b</w:t>
                  </w:r>
                  <w:proofErr w:type="gramStart"/>
                  <w:r>
                    <w:rPr>
                      <w:vertAlign w:val="superscript"/>
                    </w:rPr>
                    <w:t>*</w:t>
                  </w:r>
                  <w:r>
                    <w:t xml:space="preserve"> </w:t>
                  </w:r>
                  <w:r>
                    <w:t>‘</w:t>
                  </w:r>
                  <w:r>
                    <w:t>s</w:t>
                  </w:r>
                  <w:proofErr w:type="gramEnd"/>
                  <w:r>
                    <w:t xml:space="preserve"> </w:t>
                  </w:r>
                  <w:r>
                    <w:rPr>
                      <w:rFonts w:hint="eastAsia"/>
                    </w:rPr>
                    <w:t>in</w:t>
                  </w:r>
                  <w:r>
                    <w:t xml:space="preserve"> the first panel of &lt;Appendix D&gt;.</w:t>
                  </w:r>
                </w:p>
              </w:txbxContent>
            </v:textbox>
            <w10:wrap type="none"/>
            <w10:anchorlock/>
          </v:rect>
        </w:pict>
      </w:r>
    </w:p>
    <w:p w:rsidR="00A44840" w:rsidRDefault="00D35F5E">
      <w:pPr>
        <w:pStyle w:val="ac"/>
      </w:pPr>
      <w:r>
        <w:lastRenderedPageBreak/>
        <w:t>3) Estimation results for the two sub</w:t>
      </w:r>
      <w:r w:rsidR="00773CB9">
        <w:rPr>
          <w:rFonts w:hint="eastAsia"/>
        </w:rPr>
        <w:t>-</w:t>
      </w:r>
      <w:r>
        <w:t>periods</w:t>
      </w:r>
    </w:p>
    <w:p w:rsidR="00A44840" w:rsidRDefault="00D35F5E">
      <w:pPr>
        <w:pStyle w:val="a8"/>
      </w:pPr>
      <w:proofErr w:type="spellStart"/>
      <w:r>
        <w:t>Ji</w:t>
      </w:r>
      <w:proofErr w:type="spellEnd"/>
      <w:r>
        <w:t xml:space="preserve"> et al. (2001) </w:t>
      </w:r>
      <w:r w:rsidR="00414AC4">
        <w:rPr>
          <w:rFonts w:hint="eastAsia"/>
        </w:rPr>
        <w:t>demonstrated</w:t>
      </w:r>
      <w:r w:rsidR="00414AC4">
        <w:t xml:space="preserve"> </w:t>
      </w:r>
      <w:r>
        <w:t>that the Korean stock market reacts differently to the U</w:t>
      </w:r>
      <w:r w:rsidR="00414AC4">
        <w:rPr>
          <w:rFonts w:hint="eastAsia"/>
        </w:rPr>
        <w:t>.</w:t>
      </w:r>
      <w:r>
        <w:t>S</w:t>
      </w:r>
      <w:r w:rsidR="00414AC4">
        <w:rPr>
          <w:rFonts w:hint="eastAsia"/>
        </w:rPr>
        <w:t>.</w:t>
      </w:r>
      <w:r>
        <w:t xml:space="preserve"> market news before and after the foreign exchange crisis in October 1997. This pattern may repeat itself before and after the world financial crisis on August 2007.</w:t>
      </w:r>
    </w:p>
    <w:p w:rsidR="00A44840" w:rsidRDefault="00D35F5E">
      <w:pPr>
        <w:pStyle w:val="a8"/>
      </w:pPr>
      <w:r>
        <w:t xml:space="preserve">The second and the third panels in &lt;Appendix C&gt; summarize the estimation results of equation (6) before and after the financial crisis. &lt; Figure 6&gt; </w:t>
      </w:r>
      <w:r w:rsidR="00414AC4">
        <w:t xml:space="preserve">presents </w:t>
      </w:r>
      <w:r>
        <w:t>the patterns of b according to</w:t>
      </w:r>
      <w:r w:rsidR="00414AC4">
        <w:rPr>
          <w:rFonts w:hint="eastAsia"/>
        </w:rPr>
        <w:t xml:space="preserve"> the</w:t>
      </w:r>
      <w:r>
        <w:t xml:space="preserve"> time flow. </w:t>
      </w:r>
    </w:p>
    <w:p w:rsidR="00A44840" w:rsidRDefault="00D35F5E">
      <w:pPr>
        <w:pStyle w:val="a8"/>
      </w:pPr>
      <w:r>
        <w:t xml:space="preserve">Generally speaking, the estimation results in </w:t>
      </w:r>
      <w:r w:rsidR="00AD3FA7">
        <w:rPr>
          <w:rFonts w:hint="eastAsia"/>
        </w:rPr>
        <w:t xml:space="preserve">the </w:t>
      </w:r>
      <w:r>
        <w:t>sub</w:t>
      </w:r>
      <w:r w:rsidR="00AD3FA7">
        <w:rPr>
          <w:rFonts w:hint="eastAsia"/>
        </w:rPr>
        <w:t>-</w:t>
      </w:r>
      <w:r>
        <w:t xml:space="preserve">periods are about the same as those for the </w:t>
      </w:r>
      <w:r w:rsidR="003230B7">
        <w:rPr>
          <w:rFonts w:hint="eastAsia"/>
        </w:rPr>
        <w:t>entire</w:t>
      </w:r>
      <w:r w:rsidR="003230B7">
        <w:t xml:space="preserve"> </w:t>
      </w:r>
      <w:r>
        <w:t>period. The extent of cash and futures responses to the U</w:t>
      </w:r>
      <w:r w:rsidR="00AD3FA7">
        <w:rPr>
          <w:rFonts w:hint="eastAsia"/>
        </w:rPr>
        <w:t>.</w:t>
      </w:r>
      <w:r>
        <w:t>S</w:t>
      </w:r>
      <w:r w:rsidR="00AD3FA7">
        <w:rPr>
          <w:rFonts w:hint="eastAsia"/>
        </w:rPr>
        <w:t>.</w:t>
      </w:r>
      <w:r>
        <w:t xml:space="preserve"> market before and after the crisis </w:t>
      </w:r>
      <w:r w:rsidR="00AD3FA7">
        <w:rPr>
          <w:rFonts w:hint="eastAsia"/>
        </w:rPr>
        <w:t>is</w:t>
      </w:r>
      <w:r w:rsidR="00AD3FA7">
        <w:t xml:space="preserve"> </w:t>
      </w:r>
      <w:r w:rsidR="00AD3FA7">
        <w:rPr>
          <w:rFonts w:hint="eastAsia"/>
        </w:rPr>
        <w:t>nearly the same</w:t>
      </w:r>
      <w:r>
        <w:t xml:space="preserve"> as </w:t>
      </w:r>
      <w:r w:rsidR="00AD3FA7">
        <w:rPr>
          <w:rFonts w:hint="eastAsia"/>
        </w:rPr>
        <w:t xml:space="preserve">that of </w:t>
      </w:r>
      <w:r>
        <w:t xml:space="preserve">the </w:t>
      </w:r>
      <w:r w:rsidR="003230B7">
        <w:rPr>
          <w:rFonts w:hint="eastAsia"/>
        </w:rPr>
        <w:t>entire</w:t>
      </w:r>
      <w:r w:rsidR="003230B7">
        <w:t xml:space="preserve"> </w:t>
      </w:r>
      <w:r>
        <w:t xml:space="preserve">period. </w:t>
      </w:r>
      <w:r w:rsidR="00D65803">
        <w:rPr>
          <w:rFonts w:hint="eastAsia"/>
        </w:rPr>
        <w:t>The o</w:t>
      </w:r>
      <w:r w:rsidR="00D65803">
        <w:t>ver</w:t>
      </w:r>
      <w:r>
        <w:t xml:space="preserve">reaction of the opening price, slow and monotone decreasing pattern and neither </w:t>
      </w:r>
      <w:r w:rsidR="00D65803">
        <w:rPr>
          <w:rFonts w:hint="eastAsia"/>
        </w:rPr>
        <w:t xml:space="preserve">the </w:t>
      </w:r>
      <w:r>
        <w:t>leads nor lags between the two markets are observed in both of the sub</w:t>
      </w:r>
      <w:r w:rsidR="00D65803">
        <w:rPr>
          <w:rFonts w:hint="eastAsia"/>
        </w:rPr>
        <w:t>-</w:t>
      </w:r>
      <w:r>
        <w:t xml:space="preserve">periods. </w:t>
      </w:r>
    </w:p>
    <w:p w:rsidR="00A44840" w:rsidRDefault="00D65803">
      <w:pPr>
        <w:pStyle w:val="a8"/>
      </w:pPr>
      <w:r>
        <w:rPr>
          <w:rFonts w:hint="eastAsia"/>
        </w:rPr>
        <w:t>However,</w:t>
      </w:r>
      <w:r>
        <w:t xml:space="preserve"> </w:t>
      </w:r>
      <w:r w:rsidR="00D35F5E">
        <w:t xml:space="preserve">a closer look into the figures reveals that there are some differences before and after the crisis. Price responses before the crisis are greater than those after the crisis. Specifically, before the crisis,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S,9:00</m:t>
            </m:r>
          </m:sub>
        </m:sSub>
      </m:oMath>
      <w:r w:rsidR="00D35F5E">
        <w:t xml:space="preserve"> and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F,9:00</m:t>
            </m:r>
          </m:sub>
        </m:sSub>
      </m:oMath>
      <w:r w:rsidR="00D35F5E">
        <w:t xml:space="preserve"> are 0.7224 and 0.6681</w:t>
      </w:r>
      <w:r>
        <w:rPr>
          <w:rFonts w:hint="eastAsia"/>
        </w:rPr>
        <w:t>,</w:t>
      </w:r>
      <w:r w:rsidR="00D35F5E">
        <w:t xml:space="preserve"> respectively, but after the crisis</w:t>
      </w:r>
      <w:r>
        <w:rPr>
          <w:rFonts w:hint="eastAsia"/>
        </w:rPr>
        <w:t>,</w:t>
      </w:r>
      <w:r w:rsidR="00D35F5E">
        <w:t xml:space="preserve"> </w:t>
      </w:r>
      <w:r>
        <w:rPr>
          <w:rFonts w:hint="eastAsia"/>
        </w:rPr>
        <w:t>they</w:t>
      </w:r>
      <w:r>
        <w:t xml:space="preserve"> </w:t>
      </w:r>
      <w:r w:rsidR="00D35F5E">
        <w:t>are 0.5706 and 0.4962</w:t>
      </w:r>
      <w:r>
        <w:rPr>
          <w:rFonts w:hint="eastAsia"/>
        </w:rPr>
        <w:t>,</w:t>
      </w:r>
      <w:r w:rsidR="00D35F5E">
        <w:t xml:space="preserve"> respectively. Moreover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S,15:00</m:t>
            </m:r>
          </m:sub>
        </m:sSub>
      </m:oMath>
      <w:r w:rsidR="00D35F5E">
        <w:t xml:space="preserve"> and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F,15:15</m:t>
            </m:r>
          </m:sub>
        </m:sSub>
      </m:oMath>
      <w:r w:rsidR="00D35F5E">
        <w:t xml:space="preserve"> are 0.5169 and 0.5027</w:t>
      </w:r>
      <w:r>
        <w:rPr>
          <w:rFonts w:hint="eastAsia"/>
        </w:rPr>
        <w:t>,</w:t>
      </w:r>
      <w:r w:rsidR="00D35F5E">
        <w:t xml:space="preserve"> respectively</w:t>
      </w:r>
      <w:r>
        <w:rPr>
          <w:rFonts w:hint="eastAsia"/>
        </w:rPr>
        <w:t>,</w:t>
      </w:r>
      <w:r w:rsidR="00D35F5E">
        <w:t xml:space="preserve"> before the crisis</w:t>
      </w:r>
      <w:r>
        <w:rPr>
          <w:rFonts w:hint="eastAsia"/>
        </w:rPr>
        <w:t>, whereas they</w:t>
      </w:r>
      <w:r w:rsidR="00D35F5E">
        <w:t xml:space="preserve"> are 0.4351 and 0.4155</w:t>
      </w:r>
      <w:r>
        <w:rPr>
          <w:rFonts w:hint="eastAsia"/>
        </w:rPr>
        <w:t xml:space="preserve">, </w:t>
      </w:r>
      <w:r>
        <w:t>respectively</w:t>
      </w:r>
      <w:r>
        <w:rPr>
          <w:rFonts w:hint="eastAsia"/>
        </w:rPr>
        <w:t>,</w:t>
      </w:r>
      <w:r w:rsidR="00D35F5E">
        <w:t xml:space="preserve"> after the crisis. This is in contrast to the common belief that the Korean market has become more sensitive to the U</w:t>
      </w:r>
      <w:r>
        <w:rPr>
          <w:rFonts w:hint="eastAsia"/>
        </w:rPr>
        <w:t>.</w:t>
      </w:r>
      <w:r w:rsidR="00D35F5E">
        <w:t>S</w:t>
      </w:r>
      <w:r>
        <w:rPr>
          <w:rFonts w:hint="eastAsia"/>
        </w:rPr>
        <w:t>.</w:t>
      </w:r>
      <w:r w:rsidR="00D35F5E">
        <w:t xml:space="preserve"> market after the financial crisis.</w:t>
      </w:r>
      <w:r w:rsidR="00D35F5E">
        <w:rPr>
          <w:rStyle w:val="a6"/>
        </w:rPr>
        <w:footnoteReference w:id="12"/>
      </w:r>
    </w:p>
    <w:p w:rsidR="00A44840" w:rsidRDefault="00D35F5E">
      <w:pPr>
        <w:pStyle w:val="a8"/>
      </w:pPr>
      <w:r>
        <w:t>One additional fact that we can find is that the difference between the cash and futures are not different from 0</w:t>
      </w:r>
      <w:r w:rsidR="00D23661">
        <w:rPr>
          <w:rFonts w:hint="eastAsia"/>
        </w:rPr>
        <w:t>,</w:t>
      </w:r>
      <w:r>
        <w:t xml:space="preserve"> except for the opening price at 9:00. The second and third panel</w:t>
      </w:r>
      <w:r w:rsidR="00D23661">
        <w:rPr>
          <w:rFonts w:hint="eastAsia"/>
        </w:rPr>
        <w:t>s</w:t>
      </w:r>
      <w:r>
        <w:t xml:space="preserve"> in &lt;Appendix D&gt;</w:t>
      </w:r>
      <w:r w:rsidR="00D23661">
        <w:rPr>
          <w:rFonts w:hint="eastAsia"/>
        </w:rPr>
        <w:t xml:space="preserve"> indicate</w:t>
      </w:r>
      <w:r w:rsidR="00D23661">
        <w:t xml:space="preserve"> </w:t>
      </w:r>
      <w:r>
        <w:t xml:space="preserve">that </w:t>
      </w:r>
      <m:oMath>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9:00</m:t>
            </m:r>
          </m:sub>
          <m:sup>
            <m:r>
              <m:rPr>
                <m:sty m:val="p"/>
              </m:rPr>
              <w:rPr>
                <w:rFonts w:ascii="Cambria Math"/>
              </w:rPr>
              <m:t>*</m:t>
            </m:r>
          </m:sup>
        </m:sSubSup>
      </m:oMath>
      <w:r>
        <w:t xml:space="preserve"> </w:t>
      </w:r>
      <w:r w:rsidR="00D23661">
        <w:rPr>
          <w:rFonts w:hint="eastAsia"/>
        </w:rPr>
        <w:t>is</w:t>
      </w:r>
      <w:r w:rsidR="00D23661">
        <w:t xml:space="preserve"> </w:t>
      </w:r>
      <w:r>
        <w:t xml:space="preserve">0.0543 before the crisis and 0.0743 after the crisis, which are </w:t>
      </w:r>
      <w:r w:rsidR="00D23661">
        <w:rPr>
          <w:rFonts w:hint="eastAsia"/>
        </w:rPr>
        <w:t xml:space="preserve">both </w:t>
      </w:r>
      <w:r>
        <w:t xml:space="preserve">statistically significant. </w:t>
      </w:r>
      <w:r w:rsidR="00D23661">
        <w:rPr>
          <w:rFonts w:hint="eastAsia"/>
        </w:rPr>
        <w:t>Yet</w:t>
      </w:r>
      <w:proofErr w:type="gramStart"/>
      <w:r w:rsidR="00D23661">
        <w:rPr>
          <w:rFonts w:hint="eastAsia"/>
        </w:rPr>
        <w:t>,</w:t>
      </w:r>
      <w:r w:rsidR="00D23661">
        <w:t xml:space="preserve"> </w:t>
      </w:r>
      <w:proofErr w:type="gramEnd"/>
      <m:oMath>
        <m:r>
          <m:rPr>
            <m:sty m:val="p"/>
          </m:rPr>
          <w:rPr>
            <w:rFonts w:ascii="Cambria Math"/>
          </w:rPr>
          <m:t>b</m:t>
        </m:r>
        <m:r>
          <m:rPr>
            <m:sty m:val="p"/>
          </m:rPr>
          <w:rPr>
            <w:rFonts w:ascii="Cambria Math"/>
          </w:rPr>
          <m:t> </m:t>
        </m:r>
        <m:r>
          <m:rPr>
            <m:sty m:val="p"/>
          </m:rPr>
          <w:rPr>
            <w:rFonts w:ascii="Cambria Math"/>
          </w:rPr>
          <m:t>_j^</m:t>
        </m:r>
        <m:r>
          <m:rPr>
            <m:sty m:val="p"/>
          </m:rPr>
          <w:rPr>
            <w:rFonts w:ascii="Cambria Math"/>
          </w:rPr>
          <m:t>*</m:t>
        </m:r>
        <m:r>
          <m:rPr>
            <m:sty m:val="p"/>
          </m:rPr>
          <w:rPr>
            <w:rFonts w:ascii="Cambria Math"/>
          </w:rPr>
          <m:t xml:space="preserve"> </m:t>
        </m:r>
      </m:oMath>
      <w:r>
        <w:t>’</w:t>
      </w:r>
      <w:r>
        <w:t xml:space="preserve">s after 9:00 are not significantly different from 0. </w:t>
      </w:r>
      <w:r w:rsidR="00D23661">
        <w:rPr>
          <w:rFonts w:hint="eastAsia"/>
        </w:rPr>
        <w:t>Particularly</w:t>
      </w:r>
      <w:r w:rsidR="00D23661">
        <w:t xml:space="preserve"> </w:t>
      </w:r>
      <w:r>
        <w:t xml:space="preserve">after the crisis, </w:t>
      </w:r>
      <m:oMath>
        <m:r>
          <m:rPr>
            <m:sty m:val="p"/>
          </m:rPr>
          <w:rPr>
            <w:rFonts w:ascii="Cambria Math"/>
          </w:rPr>
          <m:t>b</m:t>
        </m:r>
        <m:r>
          <m:rPr>
            <m:sty m:val="p"/>
          </m:rPr>
          <w:rPr>
            <w:rFonts w:ascii="Cambria Math"/>
          </w:rPr>
          <m:t> </m:t>
        </m:r>
        <m:r>
          <m:rPr>
            <m:sty m:val="p"/>
          </m:rPr>
          <w:rPr>
            <w:rFonts w:ascii="Cambria Math"/>
          </w:rPr>
          <m:t>_j^</m:t>
        </m:r>
        <m:r>
          <m:rPr>
            <m:sty m:val="p"/>
          </m:rPr>
          <w:rPr>
            <w:rFonts w:ascii="Cambria Math"/>
          </w:rPr>
          <m:t>*</m:t>
        </m:r>
        <m:r>
          <m:rPr>
            <m:sty m:val="p"/>
          </m:rPr>
          <w:rPr>
            <w:rFonts w:ascii="Cambria Math"/>
          </w:rPr>
          <m:t xml:space="preserve"> </m:t>
        </m:r>
      </m:oMath>
      <w:r>
        <w:t xml:space="preserve"> decreases slowly after the opening and decreases </w:t>
      </w:r>
      <w:r w:rsidR="00D23661">
        <w:rPr>
          <w:rFonts w:hint="eastAsia"/>
        </w:rPr>
        <w:t>quickly</w:t>
      </w:r>
      <w:r w:rsidR="00D23661">
        <w:t xml:space="preserve"> </w:t>
      </w:r>
      <w:r>
        <w:t>after 14:45</w:t>
      </w:r>
      <w:r w:rsidR="00D23661">
        <w:rPr>
          <w:rFonts w:hint="eastAsia"/>
        </w:rPr>
        <w:t>;</w:t>
      </w:r>
      <w:r>
        <w:t xml:space="preserve"> </w:t>
      </w:r>
      <w:r w:rsidR="00D23661">
        <w:rPr>
          <w:rFonts w:hint="eastAsia"/>
        </w:rPr>
        <w:t>it reaches</w:t>
      </w:r>
      <w:r>
        <w:t xml:space="preserve"> 0.0214 at closing. This implies that if the U</w:t>
      </w:r>
      <w:r w:rsidR="00D23661">
        <w:rPr>
          <w:rFonts w:hint="eastAsia"/>
        </w:rPr>
        <w:t>.</w:t>
      </w:r>
      <w:r>
        <w:t>S</w:t>
      </w:r>
      <w:r w:rsidR="00D23661">
        <w:rPr>
          <w:rFonts w:hint="eastAsia"/>
        </w:rPr>
        <w:t>.</w:t>
      </w:r>
      <w:r>
        <w:t xml:space="preserve"> stock price rises substantially on date  t-1, then we may arbitrage the opportunity by selling spot and buying futures at the opening</w:t>
      </w:r>
      <w:r w:rsidR="00282E27">
        <w:rPr>
          <w:rFonts w:hint="eastAsia"/>
        </w:rPr>
        <w:t>,</w:t>
      </w:r>
      <w:r>
        <w:t xml:space="preserve"> and buying spot and selling futures at the vicinity of 14:50 (when the U</w:t>
      </w:r>
      <w:r w:rsidR="00D23661">
        <w:rPr>
          <w:rFonts w:hint="eastAsia"/>
        </w:rPr>
        <w:t>.</w:t>
      </w:r>
      <w:r>
        <w:t>S</w:t>
      </w:r>
      <w:r w:rsidR="00D23661">
        <w:rPr>
          <w:rFonts w:hint="eastAsia"/>
        </w:rPr>
        <w:t>.</w:t>
      </w:r>
      <w:r>
        <w:t xml:space="preserve"> market falls, the strategies should be opposite in direction)</w:t>
      </w:r>
      <w:r w:rsidR="00D23661">
        <w:rPr>
          <w:rFonts w:hint="eastAsia"/>
        </w:rPr>
        <w:t>.</w:t>
      </w:r>
      <w:r>
        <w:t xml:space="preserve"> </w:t>
      </w:r>
    </w:p>
    <w:p w:rsidR="00A44840" w:rsidRDefault="004E4790">
      <w:pPr>
        <w:pStyle w:val="af"/>
      </w:pPr>
      <w:r>
        <w:rPr>
          <w:noProof/>
        </w:rPr>
      </w:r>
      <w:r>
        <w:rPr>
          <w:noProof/>
        </w:rPr>
        <w:pict>
          <v:rect id="_x0000_s1113037358" o:spid="_x0000_s1034" alt="설명: 그림입니다. 원본 그림의 이름: CLP000015c00001.bmp 원본 그림의 크기: 가로 706pixel, 세로 429pixel" style="width:489.35pt;height:307.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FU5LwMAAC0GAAAOAAAAZHJzL2Uyb0RvYy54bWysVEGL3DYUvgfyH4TO8die8XjGZr1hM7MO&#10;gW2ykPYcNLY8FrUlI2nXswmBFBII5NJjIUmhUHLqIZBA99BftLP9D32Sx7M7m0tJ4oP89PT09N77&#10;vvf27q7qCp1SqZjgCfYHHkaUZyJnfJngn35MnSlGShOek0pwmuAzqvDd/du39tompkNRiiqnEoET&#10;ruK2SXCpdRO7rspKWhM1EA3lcFgIWRMNW7l0c0la8F5X7tDzQrcVMm+kyKhSoJ13h3jf+i8KmulH&#10;RaGoRlWCITZtV2nXhVnd/T0SLyVpSpZtwiBfEUVNGIdHt67mRBN0ItkXrmqWSaFEoQeZqF1RFCyj&#10;NgfIxvduZPO4JA21uUBxVLMtk/p+brOHp8cSsRywCzHipAaMnqw8+J4o3/dH3mgyGgOGOVUZlO3i&#10;7/P1h38uf3+1fvN6/ebPAbp8++v60zna6N//hi7ff15/eBmj2dGx8eKPM/sbLOrmS+N/f/nr4vxj&#10;jC4+vlj/8Q5NvLBhK1rdQZcvz40iGEZWYWBqGxVDtI+bY2kKrZojkf2sEBezkvAlPZBStCUlORTH&#10;N/buzgWzUXAVLdofRA5JkhMtLGKrQtbGIWCBVpYYZ1ti0JVGGShDf+hNwjFGGZxF49FkYpnjkri/&#10;3Uil71NRIyMkWALxrHdyeqS0iYbEvYl5jIuUVZUlX8V3FGDYaeBtuGrOTBSWS88iLzqcHk4DJxiG&#10;h07gzefOQToLnDD1J+P5aD6bzf3n5l0/iEuW55SbZ3pe+8H/482mwzpGbpmtRMVy486EpORyMask&#10;OiXQV6n9bM3h5MrM3Q3DFgFyuZGSPwy8e8PIScPpxAnSYOxEE2/qeH50Lwq9IArm6W5KR4zTb08J&#10;tQbJ4diidC3oG7kZ8no92DtmNdMwuSpWJ3i6NSKxoeAhzy20mrCqk6+VwoR/VQqAuwfaEtZwtOO6&#10;Xi1WtjHDnv0LkZ8Bg6UAgsEsg6kLQinkU4xamGAJ5jBiMaoecOgBM+x6QfbCohcIz+BigjVGnTjT&#10;3VA8aSRbluDX7wrTHECfpMxS2PRQF8Omu2Am2Uw289MMvet7a3U15ff/AwAA//8DAFBLAwQUAAYA&#10;CAAAACEALwbjAdYAAAAFAQAADwAAAGRycy9kb3ducmV2LnhtbEyPzWrDMBCE74W8g9hCb43UHEpw&#10;LYdSCKSllzh9AMVa/1Bp10hK7Lx9lFJoL8sOs8x+U25m78QZQxyYNDwtFQikhu1AnYavw/ZxDSIm&#10;Q9Y4JtRwwQibanFXmsLyRHs816kTOYRiYTT0KY2FlLHp0Zu45BEpey0Hb1KWoZM2mCmHeydXSj1L&#10;bwbKH3oz4luPzXd98hrkod5O69oFxR+r9tO97/YtstYP9/PrC4iEc/o7hht+RocqMx35RDYKpyEX&#10;ST/z5imV5fF3kVUp/9NXVwAAAP//AwBQSwECLQAUAAYACAAAACEAtoM4kv4AAADhAQAAEwAAAAAA&#10;AAAAAAAAAAAAAAAAW0NvbnRlbnRfVHlwZXNdLnhtbFBLAQItABQABgAIAAAAIQA4/SH/1gAAAJQB&#10;AAALAAAAAAAAAAAAAAAAAC8BAABfcmVscy8ucmVsc1BLAQItABQABgAIAAAAIQBfwFU5LwMAAC0G&#10;AAAOAAAAAAAAAAAAAAAAAC4CAABkcnMvZTJvRG9jLnhtbFBLAQItABQABgAIAAAAIQAvBuMB1gAA&#10;AAUBAAAPAAAAAAAAAAAAAAAAAIkFAABkcnMvZG93bnJldi54bWxQSwUGAAAAAAQABADzAAAAjAYA&#10;AAAA&#10;" filled="f" stroked="f">
            <v:textbox inset="0,0,0,0">
              <w:txbxContent>
                <w:p w:rsidR="006B03CF" w:rsidRDefault="006B03CF">
                  <w:pPr>
                    <w:pStyle w:val="af1"/>
                  </w:pPr>
                  <w:r>
                    <w:rPr>
                      <w:noProof/>
                    </w:rPr>
                    <w:drawing>
                      <wp:inline distT="0" distB="0" distL="0" distR="0">
                        <wp:extent cx="5095875" cy="3071813"/>
                        <wp:effectExtent l="19050" t="0" r="9525" b="0"/>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srcRect/>
                                <a:stretch>
                                  <a:fillRect/>
                                </a:stretch>
                              </pic:blipFill>
                              <pic:spPr bwMode="auto">
                                <a:xfrm>
                                  <a:off x="0" y="0"/>
                                  <a:ext cx="5095875" cy="3071813"/>
                                </a:xfrm>
                                <a:prstGeom prst="rect">
                                  <a:avLst/>
                                </a:prstGeom>
                                <a:noFill/>
                                <a:ln w="9525">
                                  <a:noFill/>
                                  <a:miter lim="800000"/>
                                  <a:headEnd/>
                                  <a:tailEnd/>
                                </a:ln>
                              </pic:spPr>
                            </pic:pic>
                          </a:graphicData>
                        </a:graphic>
                      </wp:inline>
                    </w:drawing>
                  </w:r>
                </w:p>
                <w:p w:rsidR="006B03CF" w:rsidRDefault="006B03CF">
                  <w:pPr>
                    <w:pStyle w:val="af1"/>
                  </w:pPr>
                  <w:r>
                    <w:t xml:space="preserve">&lt;Figure </w:t>
                  </w:r>
                  <w:r>
                    <w:fldChar w:fldCharType="begin"/>
                  </w:r>
                  <w:r>
                    <w:instrText>SEQ 그림\* ARABIC\r 6</w:instrText>
                  </w:r>
                  <w:r>
                    <w:fldChar w:fldCharType="separate"/>
                  </w:r>
                  <w:r>
                    <w:rPr>
                      <w:noProof/>
                    </w:rPr>
                    <w:t>6</w:t>
                  </w:r>
                  <w:r>
                    <w:rPr>
                      <w:noProof/>
                    </w:rPr>
                    <w:fldChar w:fldCharType="end"/>
                  </w:r>
                  <w:r>
                    <w:t>&gt; Price responses of spot and futures:</w:t>
                  </w:r>
                  <w:r>
                    <w:rPr>
                      <w:rFonts w:hint="eastAsia"/>
                    </w:rPr>
                    <w:t xml:space="preserve"> </w:t>
                  </w:r>
                  <w:r>
                    <w:t>Before and after the financial crisis</w:t>
                  </w:r>
                </w:p>
                <w:p w:rsidR="006B03CF" w:rsidRDefault="006B03CF">
                  <w:pPr>
                    <w:pStyle w:val="af1"/>
                    <w:rPr>
                      <w:spacing w:val="5"/>
                      <w:sz w:val="18"/>
                      <w:szCs w:val="18"/>
                    </w:rPr>
                  </w:pPr>
                  <w:r>
                    <w:rPr>
                      <w:spacing w:val="5"/>
                      <w:sz w:val="18"/>
                      <w:szCs w:val="18"/>
                    </w:rPr>
                    <w:t xml:space="preserve">Each line is the continuation of </w:t>
                  </w:r>
                  <w:proofErr w:type="gramStart"/>
                  <w:r>
                    <w:rPr>
                      <w:spacing w:val="5"/>
                      <w:sz w:val="18"/>
                      <w:szCs w:val="18"/>
                    </w:rPr>
                    <w:t>b</w:t>
                  </w:r>
                  <w:r>
                    <w:rPr>
                      <w:spacing w:val="5"/>
                      <w:sz w:val="18"/>
                      <w:szCs w:val="18"/>
                    </w:rPr>
                    <w:t>’</w:t>
                  </w:r>
                  <w:r>
                    <w:rPr>
                      <w:spacing w:val="5"/>
                      <w:sz w:val="18"/>
                      <w:szCs w:val="18"/>
                    </w:rPr>
                    <w:t>s</w:t>
                  </w:r>
                  <w:proofErr w:type="gramEnd"/>
                  <w:r>
                    <w:rPr>
                      <w:spacing w:val="5"/>
                      <w:sz w:val="18"/>
                      <w:szCs w:val="18"/>
                    </w:rPr>
                    <w:t xml:space="preserve"> </w:t>
                  </w:r>
                  <w:r>
                    <w:rPr>
                      <w:rFonts w:hint="eastAsia"/>
                      <w:spacing w:val="5"/>
                      <w:sz w:val="18"/>
                      <w:szCs w:val="18"/>
                    </w:rPr>
                    <w:t>in</w:t>
                  </w:r>
                  <w:r>
                    <w:rPr>
                      <w:spacing w:val="5"/>
                      <w:sz w:val="18"/>
                      <w:szCs w:val="18"/>
                    </w:rPr>
                    <w:t xml:space="preserve"> the second and third panel</w:t>
                  </w:r>
                  <w:r>
                    <w:rPr>
                      <w:rFonts w:hint="eastAsia"/>
                      <w:spacing w:val="5"/>
                      <w:sz w:val="18"/>
                      <w:szCs w:val="18"/>
                    </w:rPr>
                    <w:t>s</w:t>
                  </w:r>
                  <w:r>
                    <w:rPr>
                      <w:spacing w:val="5"/>
                      <w:sz w:val="18"/>
                      <w:szCs w:val="18"/>
                    </w:rPr>
                    <w:t xml:space="preserve"> of &lt;Appendix C&gt;. The difference is the continuation of b</w:t>
                  </w:r>
                  <w:proofErr w:type="gramStart"/>
                  <w:r>
                    <w:rPr>
                      <w:spacing w:val="5"/>
                      <w:sz w:val="18"/>
                      <w:szCs w:val="18"/>
                      <w:vertAlign w:val="superscript"/>
                    </w:rPr>
                    <w:t>*</w:t>
                  </w:r>
                  <w:r>
                    <w:rPr>
                      <w:spacing w:val="5"/>
                      <w:sz w:val="18"/>
                      <w:szCs w:val="18"/>
                    </w:rPr>
                    <w:t xml:space="preserve"> </w:t>
                  </w:r>
                  <w:r>
                    <w:rPr>
                      <w:spacing w:val="5"/>
                      <w:sz w:val="18"/>
                      <w:szCs w:val="18"/>
                    </w:rPr>
                    <w:t>‘</w:t>
                  </w:r>
                  <w:r>
                    <w:rPr>
                      <w:spacing w:val="5"/>
                      <w:sz w:val="18"/>
                      <w:szCs w:val="18"/>
                    </w:rPr>
                    <w:t>s</w:t>
                  </w:r>
                  <w:proofErr w:type="gramEnd"/>
                  <w:r>
                    <w:rPr>
                      <w:spacing w:val="5"/>
                      <w:sz w:val="18"/>
                      <w:szCs w:val="18"/>
                    </w:rPr>
                    <w:t xml:space="preserve"> </w:t>
                  </w:r>
                  <w:r>
                    <w:rPr>
                      <w:rFonts w:hint="eastAsia"/>
                      <w:spacing w:val="5"/>
                      <w:sz w:val="18"/>
                      <w:szCs w:val="18"/>
                    </w:rPr>
                    <w:t>in</w:t>
                  </w:r>
                  <w:r>
                    <w:rPr>
                      <w:spacing w:val="5"/>
                      <w:sz w:val="18"/>
                      <w:szCs w:val="18"/>
                    </w:rPr>
                    <w:t xml:space="preserve"> the second and third panel</w:t>
                  </w:r>
                  <w:r>
                    <w:rPr>
                      <w:rFonts w:hint="eastAsia"/>
                      <w:spacing w:val="5"/>
                      <w:sz w:val="18"/>
                      <w:szCs w:val="18"/>
                    </w:rPr>
                    <w:t>s</w:t>
                  </w:r>
                  <w:r>
                    <w:rPr>
                      <w:spacing w:val="5"/>
                      <w:sz w:val="18"/>
                      <w:szCs w:val="18"/>
                    </w:rPr>
                    <w:t xml:space="preserve"> of &lt;Appendix D&gt;.</w:t>
                  </w:r>
                </w:p>
                <w:p w:rsidR="006B03CF" w:rsidRDefault="006B03CF">
                  <w:pPr>
                    <w:pStyle w:val="af"/>
                    <w:rPr>
                      <w:spacing w:val="4"/>
                      <w:sz w:val="14"/>
                      <w:szCs w:val="14"/>
                    </w:rPr>
                  </w:pPr>
                </w:p>
              </w:txbxContent>
            </v:textbox>
            <w10:wrap type="none"/>
            <w10:anchorlock/>
          </v:rect>
        </w:pict>
      </w:r>
    </w:p>
    <w:p w:rsidR="00A44840" w:rsidRDefault="00D35F5E">
      <w:pPr>
        <w:pStyle w:val="ab"/>
      </w:pPr>
      <w:r>
        <w:t xml:space="preserve">2. Responses of each investor group and trading volume change </w:t>
      </w:r>
    </w:p>
    <w:p w:rsidR="00A44840" w:rsidRDefault="00D35F5E">
      <w:pPr>
        <w:pStyle w:val="ac"/>
      </w:pPr>
      <w:r>
        <w:t>(1) Responses of each investor group</w:t>
      </w:r>
    </w:p>
    <w:p w:rsidR="00A44840" w:rsidRDefault="00D35F5E">
      <w:pPr>
        <w:pStyle w:val="a8"/>
      </w:pPr>
      <w:r>
        <w:t xml:space="preserve">One interesting concern </w:t>
      </w:r>
      <w:r w:rsidR="00CE1DE9">
        <w:rPr>
          <w:rFonts w:hint="eastAsia"/>
        </w:rPr>
        <w:t>regarding</w:t>
      </w:r>
      <w:r w:rsidR="00CE1DE9">
        <w:t xml:space="preserve"> </w:t>
      </w:r>
      <w:r>
        <w:t xml:space="preserve">the market response is </w:t>
      </w:r>
      <w:r w:rsidR="00CE1DE9">
        <w:rPr>
          <w:rFonts w:hint="eastAsia"/>
        </w:rPr>
        <w:t xml:space="preserve">to realize </w:t>
      </w:r>
      <w:r>
        <w:t>which investor group is the main actor in the reaction. Park &amp; Yang</w:t>
      </w:r>
      <w:r w:rsidR="00CE1DE9">
        <w:rPr>
          <w:rFonts w:hint="eastAsia"/>
        </w:rPr>
        <w:t xml:space="preserve"> </w:t>
      </w:r>
      <w:r>
        <w:t>(2011) report that foreign investors are net purchasers, as their purchase ratio has</w:t>
      </w:r>
      <w:r w:rsidR="00C72527">
        <w:rPr>
          <w:rFonts w:hint="eastAsia"/>
        </w:rPr>
        <w:t xml:space="preserve"> a</w:t>
      </w:r>
      <w:r>
        <w:t xml:space="preserve"> positive relationship with the U</w:t>
      </w:r>
      <w:r w:rsidR="00C72527">
        <w:rPr>
          <w:rFonts w:hint="eastAsia"/>
        </w:rPr>
        <w:t>.</w:t>
      </w:r>
      <w:r>
        <w:t>S</w:t>
      </w:r>
      <w:r w:rsidR="00C72527">
        <w:rPr>
          <w:rFonts w:hint="eastAsia"/>
        </w:rPr>
        <w:t>.</w:t>
      </w:r>
      <w:r>
        <w:t xml:space="preserve"> market change, </w:t>
      </w:r>
      <w:r w:rsidR="00CE1DE9">
        <w:rPr>
          <w:rFonts w:hint="eastAsia"/>
        </w:rPr>
        <w:t>whereas</w:t>
      </w:r>
      <w:r w:rsidR="00CE1DE9">
        <w:t xml:space="preserve"> </w:t>
      </w:r>
      <w:r>
        <w:t xml:space="preserve">that </w:t>
      </w:r>
      <w:r w:rsidR="000B49FF">
        <w:t>of the individual investors ha</w:t>
      </w:r>
      <w:r w:rsidR="000B49FF">
        <w:rPr>
          <w:rFonts w:hint="eastAsia"/>
        </w:rPr>
        <w:t>s</w:t>
      </w:r>
      <w:r>
        <w:t xml:space="preserve"> </w:t>
      </w:r>
      <w:r w:rsidR="00C72527">
        <w:rPr>
          <w:rFonts w:hint="eastAsia"/>
        </w:rPr>
        <w:t xml:space="preserve">a </w:t>
      </w:r>
      <w:r>
        <w:t xml:space="preserve">negative relationship. </w:t>
      </w:r>
    </w:p>
    <w:p w:rsidR="00A44840" w:rsidRDefault="000B49FF">
      <w:pPr>
        <w:pStyle w:val="a8"/>
      </w:pPr>
      <w:r>
        <w:t>This study regress</w:t>
      </w:r>
      <w:r w:rsidR="00D35F5E">
        <w:t xml:space="preserve"> each investor group</w:t>
      </w:r>
      <w:r w:rsidR="00D35F5E">
        <w:t>’</w:t>
      </w:r>
      <w:r w:rsidR="00D35F5E">
        <w:t xml:space="preserve">s net purchase ratio on date t </w:t>
      </w:r>
      <w:r w:rsidR="00C72527">
        <w:rPr>
          <w:rFonts w:hint="eastAsia"/>
        </w:rPr>
        <w:t>in the</w:t>
      </w:r>
      <w:r w:rsidR="00C72527">
        <w:t xml:space="preserve"> </w:t>
      </w:r>
      <w:r w:rsidR="00D35F5E">
        <w:t>S&amp;P</w:t>
      </w:r>
      <w:r w:rsidR="00C72527">
        <w:rPr>
          <w:rFonts w:hint="eastAsia"/>
        </w:rPr>
        <w:t xml:space="preserve"> </w:t>
      </w:r>
      <w:r w:rsidR="00D35F5E">
        <w:t>500 daily return on date t-1</w:t>
      </w:r>
      <w:r w:rsidR="00C72527">
        <w:rPr>
          <w:rFonts w:hint="eastAsia"/>
        </w:rPr>
        <w:t>,</w:t>
      </w:r>
      <w:r w:rsidR="00D35F5E">
        <w:t xml:space="preserve"> as in equation (9).</w:t>
      </w:r>
    </w:p>
    <w:p w:rsidR="00A44840" w:rsidRDefault="00D35F5E">
      <w:pPr>
        <w:pStyle w:val="a8"/>
      </w:pPr>
      <w:r>
        <w:t xml:space="preserve"> </w:t>
      </w:r>
    </w:p>
    <w:p w:rsidR="00A44840" w:rsidRDefault="004E4790">
      <w:pPr>
        <w:pStyle w:val="a8"/>
      </w:pPr>
      <m:oMath>
        <m:sSub>
          <m:sSubPr>
            <m:ctrlPr>
              <w:rPr>
                <w:rFonts w:ascii="Cambria Math" w:hAnsi="Cambria Math"/>
              </w:rPr>
            </m:ctrlPr>
          </m:sSubPr>
          <m:e>
            <m:r>
              <m:rPr>
                <m:sty m:val="p"/>
              </m:rPr>
              <w:rPr>
                <w:rFonts w:ascii="Cambria Math"/>
              </w:rPr>
              <m:t>B</m:t>
            </m:r>
          </m:e>
          <m:sub>
            <m:r>
              <m:rPr>
                <m:sty m:val="p"/>
              </m:rPr>
              <w:rPr>
                <w:rFonts w:ascii="Cambria Math"/>
              </w:rPr>
              <m:t>k,q,t</m:t>
            </m:r>
          </m:sub>
        </m:sSub>
        <m:r>
          <m:rPr>
            <m:sty m:val="p"/>
          </m:rPr>
          <w:rPr>
            <w:rFonts w:ascii="Cambria Math"/>
          </w:rPr>
          <m:t>=</m:t>
        </m:r>
        <m:sSub>
          <m:sSubPr>
            <m:ctrlPr>
              <w:rPr>
                <w:rFonts w:ascii="Cambria Math" w:hAnsi="Cambria Math"/>
              </w:rPr>
            </m:ctrlPr>
          </m:sSubPr>
          <m:e>
            <m:r>
              <m:rPr>
                <m:sty m:val="p"/>
              </m:rPr>
              <w:rPr>
                <w:rFonts w:ascii="Cambria Math"/>
              </w:rPr>
              <m:t>c</m:t>
            </m:r>
          </m:e>
          <m:sub>
            <m:r>
              <m:rPr>
                <m:sty m:val="p"/>
              </m:rPr>
              <w:rPr>
                <w:rFonts w:ascii="Cambria Math"/>
              </w:rPr>
              <m:t>k,q</m:t>
            </m:r>
          </m:sub>
        </m:sSub>
        <m:r>
          <m:rPr>
            <m:sty m:val="p"/>
          </m:rPr>
          <w:rPr>
            <w:rFonts w:ascii="Cambria Math"/>
          </w:rPr>
          <m:t>+</m:t>
        </m:r>
        <m:sSub>
          <m:sSubPr>
            <m:ctrlPr>
              <w:rPr>
                <w:rFonts w:ascii="Cambria Math" w:hAnsi="Cambria Math"/>
              </w:rPr>
            </m:ctrlPr>
          </m:sSubPr>
          <m:e>
            <m:r>
              <m:rPr>
                <m:sty m:val="p"/>
              </m:rPr>
              <w:rPr>
                <w:rFonts w:ascii="Cambria Math"/>
              </w:rPr>
              <m:t>d</m:t>
            </m:r>
          </m:e>
          <m:sub>
            <m:r>
              <m:rPr>
                <m:sty m:val="p"/>
              </m:rPr>
              <w:rPr>
                <w:rFonts w:ascii="Cambria Math"/>
              </w:rPr>
              <m:t>k,q</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ν</m:t>
            </m:r>
          </m:e>
          <m:sub>
            <m:r>
              <m:rPr>
                <m:sty m:val="p"/>
              </m:rPr>
              <w:rPr>
                <w:rFonts w:ascii="Cambria Math"/>
              </w:rPr>
              <m:t>k,q,t</m:t>
            </m:r>
          </m:sub>
        </m:sSub>
      </m:oMath>
      <w:r w:rsidR="00D35F5E">
        <w:t xml:space="preserve">                                      (9)</w:t>
      </w:r>
    </w:p>
    <w:p w:rsidR="00A44840" w:rsidRDefault="00A44840">
      <w:pPr>
        <w:pStyle w:val="a8"/>
      </w:pPr>
    </w:p>
    <w:p w:rsidR="00A44840" w:rsidRDefault="00D35F5E">
      <w:pPr>
        <w:pStyle w:val="ae"/>
      </w:pPr>
      <w:r>
        <w:t xml:space="preserve">Here, </w:t>
      </w:r>
      <m:oMath>
        <m:sSub>
          <m:sSubPr>
            <m:ctrlPr>
              <w:rPr>
                <w:rFonts w:ascii="Cambria Math" w:hAnsi="Cambria Math"/>
              </w:rPr>
            </m:ctrlPr>
          </m:sSubPr>
          <m:e>
            <m:r>
              <m:rPr>
                <m:sty m:val="p"/>
              </m:rPr>
              <w:rPr>
                <w:rFonts w:ascii="Cambria Math"/>
              </w:rPr>
              <m:t>B</m:t>
            </m:r>
          </m:e>
          <m:sub>
            <m:r>
              <m:rPr>
                <m:sty m:val="p"/>
              </m:rPr>
              <w:rPr>
                <w:rFonts w:ascii="Cambria Math"/>
              </w:rPr>
              <m:t>k,q,t</m:t>
            </m:r>
          </m:sub>
        </m:sSub>
        <m:r>
          <w:rPr>
            <w:rFonts w:ascii="Cambria Math" w:hAnsi="Cambria Math"/>
          </w:rPr>
          <m:t xml:space="preserve"> </m:t>
        </m:r>
      </m:oMath>
      <w:r>
        <w:t>is the net purchase ratio in market k</w:t>
      </w:r>
      <w:r w:rsidR="00C72527">
        <w:rPr>
          <w:rFonts w:hint="eastAsia"/>
        </w:rPr>
        <w:t xml:space="preserve"> </w:t>
      </w:r>
      <w:r>
        <w:t>(cash or futures) by q</w:t>
      </w:r>
      <w:r w:rsidR="00C72527">
        <w:rPr>
          <w:rFonts w:hint="eastAsia"/>
        </w:rPr>
        <w:t xml:space="preserve"> </w:t>
      </w:r>
      <w:r>
        <w:t xml:space="preserve">(foreigners, institutions or individuals), </w:t>
      </w:r>
      <m:oMath>
        <m:sSub>
          <m:sSubPr>
            <m:ctrlPr>
              <w:rPr>
                <w:rFonts w:ascii="Cambria Math" w:hAnsi="Cambria Math"/>
              </w:rPr>
            </m:ctrlPr>
          </m:sSubPr>
          <m:e>
            <m:r>
              <m:rPr>
                <m:sty m:val="p"/>
              </m:rPr>
              <w:rPr>
                <w:rFonts w:ascii="Cambria Math"/>
              </w:rPr>
              <m:t>c</m:t>
            </m:r>
          </m:e>
          <m:sub>
            <m:r>
              <m:rPr>
                <m:sty m:val="p"/>
              </m:rPr>
              <w:rPr>
                <w:rFonts w:ascii="Cambria Math"/>
              </w:rPr>
              <m:t>k,q</m:t>
            </m:r>
          </m:sub>
        </m:sSub>
        <m:r>
          <w:rPr>
            <w:rFonts w:ascii="Cambria Math" w:hAnsi="Cambria Math"/>
          </w:rPr>
          <m:t xml:space="preserve"> </m:t>
        </m:r>
      </m:oMath>
      <w:r>
        <w:t>is</w:t>
      </w:r>
      <w:r w:rsidR="00CE1DE9">
        <w:rPr>
          <w:rFonts w:hint="eastAsia"/>
        </w:rPr>
        <w:t xml:space="preserve"> the</w:t>
      </w:r>
      <w:r>
        <w:t xml:space="preserve"> intercept, </w:t>
      </w:r>
      <m:oMath>
        <m:sSub>
          <m:sSubPr>
            <m:ctrlPr>
              <w:rPr>
                <w:rFonts w:ascii="Cambria Math" w:hAnsi="Cambria Math"/>
              </w:rPr>
            </m:ctrlPr>
          </m:sSubPr>
          <m:e>
            <m:r>
              <m:rPr>
                <m:sty m:val="p"/>
              </m:rPr>
              <w:rPr>
                <w:rFonts w:ascii="Cambria Math"/>
              </w:rPr>
              <m:t>d</m:t>
            </m:r>
          </m:e>
          <m:sub>
            <m:r>
              <m:rPr>
                <m:sty m:val="p"/>
              </m:rPr>
              <w:rPr>
                <w:rFonts w:ascii="Cambria Math"/>
              </w:rPr>
              <m:t xml:space="preserve">k,q </m:t>
            </m:r>
          </m:sub>
        </m:sSub>
      </m:oMath>
      <w:r>
        <w:t xml:space="preserve">is </w:t>
      </w:r>
      <w:r w:rsidR="00CE1DE9">
        <w:rPr>
          <w:rFonts w:hint="eastAsia"/>
        </w:rPr>
        <w:t xml:space="preserve">the </w:t>
      </w:r>
      <w:r>
        <w:t xml:space="preserve">slope and </w:t>
      </w:r>
      <m:oMath>
        <m:sSub>
          <m:sSubPr>
            <m:ctrlPr>
              <w:rPr>
                <w:rFonts w:ascii="Cambria Math" w:hAnsi="Cambria Math"/>
              </w:rPr>
            </m:ctrlPr>
          </m:sSubPr>
          <m:e>
            <m:r>
              <m:rPr>
                <m:sty m:val="p"/>
              </m:rPr>
              <w:rPr>
                <w:rFonts w:ascii="Cambria Math"/>
              </w:rPr>
              <m:t>ν</m:t>
            </m:r>
          </m:e>
          <m:sub>
            <m:r>
              <m:rPr>
                <m:sty m:val="p"/>
              </m:rPr>
              <w:rPr>
                <w:rFonts w:ascii="Cambria Math"/>
              </w:rPr>
              <m:t>k,q,t</m:t>
            </m:r>
          </m:sub>
        </m:sSub>
      </m:oMath>
      <w:r>
        <w:t xml:space="preserve">  is </w:t>
      </w:r>
      <w:r w:rsidR="00CE1DE9">
        <w:rPr>
          <w:rFonts w:hint="eastAsia"/>
        </w:rPr>
        <w:t>the</w:t>
      </w:r>
      <w:r w:rsidR="00CE1DE9">
        <w:t xml:space="preserve"> </w:t>
      </w:r>
      <w:r>
        <w:t>error term.</w:t>
      </w:r>
    </w:p>
    <w:p w:rsidR="00A44840" w:rsidRDefault="00D35F5E">
      <w:pPr>
        <w:pStyle w:val="a8"/>
      </w:pPr>
      <w:r>
        <w:t xml:space="preserve">The net purchase ratio is defined as the net purchase for each investor group divided by </w:t>
      </w:r>
      <w:r w:rsidR="00010AD6">
        <w:rPr>
          <w:rFonts w:hint="eastAsia"/>
        </w:rPr>
        <w:t xml:space="preserve">the </w:t>
      </w:r>
      <w:r>
        <w:t xml:space="preserve">daily trading volume. The intercept in equation (9) can be interpreted as </w:t>
      </w:r>
      <w:r w:rsidR="00010AD6">
        <w:rPr>
          <w:rFonts w:hint="eastAsia"/>
        </w:rPr>
        <w:t xml:space="preserve">the </w:t>
      </w:r>
      <w:r>
        <w:t xml:space="preserve">long term net purchase ratio, </w:t>
      </w:r>
      <w:r w:rsidR="00010AD6">
        <w:rPr>
          <w:rFonts w:hint="eastAsia"/>
        </w:rPr>
        <w:t xml:space="preserve">and </w:t>
      </w:r>
      <w:r>
        <w:t>the slope denotes the behavior of each investor group with respect to U</w:t>
      </w:r>
      <w:r w:rsidR="00010AD6">
        <w:rPr>
          <w:rFonts w:hint="eastAsia"/>
        </w:rPr>
        <w:t>.</w:t>
      </w:r>
      <w:r>
        <w:t>S</w:t>
      </w:r>
      <w:r w:rsidR="00010AD6">
        <w:rPr>
          <w:rFonts w:hint="eastAsia"/>
        </w:rPr>
        <w:t>.</w:t>
      </w:r>
      <w:r>
        <w:t xml:space="preserve"> market </w:t>
      </w:r>
      <w:r w:rsidR="00010AD6">
        <w:rPr>
          <w:rFonts w:hint="eastAsia"/>
        </w:rPr>
        <w:t>news</w:t>
      </w:r>
      <w:r>
        <w:t xml:space="preserve">. </w:t>
      </w:r>
    </w:p>
    <w:p w:rsidR="00A44840" w:rsidRDefault="00D35F5E">
      <w:pPr>
        <w:pStyle w:val="a8"/>
      </w:pPr>
      <w:r>
        <w:t>The results of equation</w:t>
      </w:r>
      <w:r w:rsidR="00010AD6">
        <w:rPr>
          <w:rFonts w:hint="eastAsia"/>
        </w:rPr>
        <w:t xml:space="preserve"> </w:t>
      </w:r>
      <w:r>
        <w:t xml:space="preserve">(9) are summarized in &lt;Table 2&gt;. For the cash market, individual investors consistently show </w:t>
      </w:r>
      <w:r w:rsidR="00010AD6">
        <w:rPr>
          <w:rFonts w:hint="eastAsia"/>
        </w:rPr>
        <w:t xml:space="preserve">a </w:t>
      </w:r>
      <w:r>
        <w:t xml:space="preserve">relatively big positive intercept before and after the crisis.  Institutional investors show </w:t>
      </w:r>
      <w:r w:rsidR="00010AD6">
        <w:rPr>
          <w:rFonts w:hint="eastAsia"/>
        </w:rPr>
        <w:t xml:space="preserve">a </w:t>
      </w:r>
      <w:r>
        <w:t xml:space="preserve">negative intercept before the crisis </w:t>
      </w:r>
      <w:r>
        <w:lastRenderedPageBreak/>
        <w:t xml:space="preserve">and foreign investors show </w:t>
      </w:r>
      <w:r w:rsidR="00010AD6">
        <w:rPr>
          <w:rFonts w:hint="eastAsia"/>
        </w:rPr>
        <w:t xml:space="preserve">a </w:t>
      </w:r>
      <w:r>
        <w:t xml:space="preserve">significantly negative intercept after the crisis. This implies that institutional investors have shown </w:t>
      </w:r>
      <w:r w:rsidR="00127D9B">
        <w:rPr>
          <w:rFonts w:hint="eastAsia"/>
        </w:rPr>
        <w:t xml:space="preserve">a </w:t>
      </w:r>
      <w:r>
        <w:t>long</w:t>
      </w:r>
      <w:r w:rsidR="00127D9B">
        <w:rPr>
          <w:rFonts w:hint="eastAsia"/>
        </w:rPr>
        <w:t>-</w:t>
      </w:r>
      <w:r>
        <w:t>term net selling behavior before the crisis</w:t>
      </w:r>
      <w:r w:rsidR="00127D9B">
        <w:rPr>
          <w:rFonts w:hint="eastAsia"/>
        </w:rPr>
        <w:t xml:space="preserve"> while</w:t>
      </w:r>
      <w:r>
        <w:t xml:space="preserve"> foreign investors have shown</w:t>
      </w:r>
      <w:r w:rsidR="00127D9B">
        <w:rPr>
          <w:rFonts w:hint="eastAsia"/>
        </w:rPr>
        <w:t xml:space="preserve"> a</w:t>
      </w:r>
      <w:r>
        <w:t xml:space="preserve"> long</w:t>
      </w:r>
      <w:r w:rsidR="00127D9B">
        <w:rPr>
          <w:rFonts w:hint="eastAsia"/>
        </w:rPr>
        <w:t>-</w:t>
      </w:r>
      <w:r>
        <w:t>term net selling behavior after the crisis</w:t>
      </w:r>
      <w:r w:rsidR="00127D9B">
        <w:rPr>
          <w:rFonts w:hint="eastAsia"/>
        </w:rPr>
        <w:t>;</w:t>
      </w:r>
      <w:r>
        <w:t xml:space="preserve"> individuals </w:t>
      </w:r>
      <w:r w:rsidR="00127D9B">
        <w:t>ha</w:t>
      </w:r>
      <w:r w:rsidR="00127D9B">
        <w:rPr>
          <w:rFonts w:hint="eastAsia"/>
        </w:rPr>
        <w:t xml:space="preserve">ve </w:t>
      </w:r>
      <w:r>
        <w:t xml:space="preserve">consistently shown </w:t>
      </w:r>
      <w:r w:rsidR="00127D9B">
        <w:rPr>
          <w:rFonts w:hint="eastAsia"/>
        </w:rPr>
        <w:t xml:space="preserve">a </w:t>
      </w:r>
      <w:r>
        <w:t>long</w:t>
      </w:r>
      <w:r w:rsidR="00127D9B">
        <w:rPr>
          <w:rFonts w:hint="eastAsia"/>
        </w:rPr>
        <w:t>-</w:t>
      </w:r>
      <w:r>
        <w:t xml:space="preserve">term net purchasing behavior. </w:t>
      </w:r>
    </w:p>
    <w:p w:rsidR="00A44840" w:rsidRDefault="00D35F5E">
      <w:pPr>
        <w:pStyle w:val="a8"/>
      </w:pPr>
      <w:r>
        <w:t>However</w:t>
      </w:r>
      <w:r w:rsidR="00B51FDD">
        <w:rPr>
          <w:rFonts w:hint="eastAsia"/>
        </w:rPr>
        <w:t>,</w:t>
      </w:r>
      <w:r>
        <w:t xml:space="preserve"> the responses of the cash market to U</w:t>
      </w:r>
      <w:r w:rsidR="00B51FDD">
        <w:rPr>
          <w:rFonts w:hint="eastAsia"/>
        </w:rPr>
        <w:t>.</w:t>
      </w:r>
      <w:r>
        <w:t>S</w:t>
      </w:r>
      <w:r w:rsidR="00B51FDD">
        <w:rPr>
          <w:rFonts w:hint="eastAsia"/>
        </w:rPr>
        <w:t>.</w:t>
      </w:r>
      <w:r>
        <w:t xml:space="preserve"> market news </w:t>
      </w:r>
      <w:r w:rsidR="00B51FDD">
        <w:rPr>
          <w:rFonts w:hint="eastAsia"/>
        </w:rPr>
        <w:t>are</w:t>
      </w:r>
      <w:r w:rsidR="00B51FDD">
        <w:t xml:space="preserve"> </w:t>
      </w:r>
      <w:r>
        <w:t>consistent regardless of the sub</w:t>
      </w:r>
      <w:r w:rsidR="00B51FDD">
        <w:rPr>
          <w:rFonts w:hint="eastAsia"/>
        </w:rPr>
        <w:t>-</w:t>
      </w:r>
      <w:r>
        <w:t xml:space="preserve">periods. Foreign investors show </w:t>
      </w:r>
      <w:r w:rsidR="00B51FDD">
        <w:rPr>
          <w:rFonts w:hint="eastAsia"/>
        </w:rPr>
        <w:t xml:space="preserve">a </w:t>
      </w:r>
      <w:r>
        <w:t>statistically significant positive slope</w:t>
      </w:r>
      <w:r w:rsidR="00B51FDD">
        <w:rPr>
          <w:rFonts w:hint="eastAsia"/>
        </w:rPr>
        <w:t>,</w:t>
      </w:r>
      <w:r>
        <w:t xml:space="preserve"> individual investors show </w:t>
      </w:r>
      <w:r w:rsidR="00B51FDD">
        <w:rPr>
          <w:rFonts w:hint="eastAsia"/>
        </w:rPr>
        <w:t xml:space="preserve">a </w:t>
      </w:r>
      <w:r>
        <w:t xml:space="preserve">statistically significant negative slope and institutional investors show </w:t>
      </w:r>
      <w:r w:rsidR="000B49FF">
        <w:rPr>
          <w:rFonts w:hint="eastAsia"/>
        </w:rPr>
        <w:t>a zero</w:t>
      </w:r>
      <w:r w:rsidR="00B51FDD" w:rsidRPr="00153104">
        <w:rPr>
          <w:b/>
          <w:i/>
          <w:color w:val="FF0000"/>
        </w:rPr>
        <w:t xml:space="preserve"> </w:t>
      </w:r>
      <w:r>
        <w:t>slope. When the U</w:t>
      </w:r>
      <w:r w:rsidR="00B51FDD">
        <w:rPr>
          <w:rFonts w:hint="eastAsia"/>
        </w:rPr>
        <w:t>.</w:t>
      </w:r>
      <w:r>
        <w:t>S</w:t>
      </w:r>
      <w:r w:rsidR="00B51FDD">
        <w:rPr>
          <w:rFonts w:hint="eastAsia"/>
        </w:rPr>
        <w:t>.</w:t>
      </w:r>
      <w:r>
        <w:t xml:space="preserve"> market is </w:t>
      </w:r>
      <w:r w:rsidR="00E01700">
        <w:rPr>
          <w:rFonts w:hint="eastAsia"/>
        </w:rPr>
        <w:t xml:space="preserve">bullish </w:t>
      </w:r>
      <w:r>
        <w:t>(bearish), foreign investors are net purchasers</w:t>
      </w:r>
      <w:r w:rsidR="00010AD6">
        <w:rPr>
          <w:rFonts w:hint="eastAsia"/>
        </w:rPr>
        <w:t xml:space="preserve"> </w:t>
      </w:r>
      <w:r>
        <w:t>(sellers) while individuals are net sellers</w:t>
      </w:r>
      <w:r w:rsidR="00010AD6">
        <w:rPr>
          <w:rFonts w:hint="eastAsia"/>
        </w:rPr>
        <w:t xml:space="preserve"> </w:t>
      </w:r>
      <w:r>
        <w:t>(purchasers).</w:t>
      </w:r>
    </w:p>
    <w:p w:rsidR="00A44840" w:rsidRDefault="00D35F5E">
      <w:pPr>
        <w:pStyle w:val="a8"/>
      </w:pPr>
      <w:r>
        <w:t>The futures market responses are quite different from those of the cash market. All the intercepts in the futures market are not statistically significant, implying that there are no specific long</w:t>
      </w:r>
      <w:r w:rsidR="00565B9D">
        <w:rPr>
          <w:rFonts w:hint="eastAsia"/>
        </w:rPr>
        <w:t>-</w:t>
      </w:r>
      <w:r>
        <w:t>term behaviors for any group.</w:t>
      </w:r>
      <w:bookmarkStart w:id="7" w:name="f_1111427863"/>
      <w:r>
        <w:rPr>
          <w:rStyle w:val="a6"/>
        </w:rPr>
        <w:footnoteReference w:id="13"/>
      </w:r>
      <w:bookmarkEnd w:id="7"/>
      <w:r>
        <w:t xml:space="preserve"> </w:t>
      </w:r>
    </w:p>
    <w:p w:rsidR="00A44840" w:rsidRDefault="00565B9D">
      <w:pPr>
        <w:pStyle w:val="a8"/>
      </w:pPr>
      <w:r>
        <w:rPr>
          <w:rFonts w:hint="eastAsia"/>
        </w:rPr>
        <w:t>Prior to</w:t>
      </w:r>
      <w:r>
        <w:t xml:space="preserve"> </w:t>
      </w:r>
      <w:r w:rsidR="00D35F5E">
        <w:t>the crisis</w:t>
      </w:r>
      <w:r>
        <w:rPr>
          <w:rFonts w:hint="eastAsia"/>
        </w:rPr>
        <w:t>,</w:t>
      </w:r>
      <w:r w:rsidR="00D35F5E">
        <w:t xml:space="preserve"> the slope in the futures market for institutional investors is positive, </w:t>
      </w:r>
      <w:r>
        <w:rPr>
          <w:rFonts w:hint="eastAsia"/>
        </w:rPr>
        <w:t>whereas</w:t>
      </w:r>
      <w:r>
        <w:t xml:space="preserve"> </w:t>
      </w:r>
      <w:r w:rsidR="00D35F5E">
        <w:t>that for individual investor</w:t>
      </w:r>
      <w:r>
        <w:rPr>
          <w:rFonts w:hint="eastAsia"/>
        </w:rPr>
        <w:t>s</w:t>
      </w:r>
      <w:r w:rsidR="00D35F5E">
        <w:t xml:space="preserve"> is negative. After the crisis</w:t>
      </w:r>
      <w:r>
        <w:rPr>
          <w:rFonts w:hint="eastAsia"/>
        </w:rPr>
        <w:t>,</w:t>
      </w:r>
      <w:r w:rsidR="00D35F5E">
        <w:t xml:space="preserve"> the slope for foreigners is positive while that for institutional investors and individual investors are negative. This implies that foreigners </w:t>
      </w:r>
      <w:r>
        <w:t>ha</w:t>
      </w:r>
      <w:r>
        <w:rPr>
          <w:rFonts w:hint="eastAsia"/>
        </w:rPr>
        <w:t>ve</w:t>
      </w:r>
      <w:r>
        <w:t xml:space="preserve"> beg</w:t>
      </w:r>
      <w:r>
        <w:rPr>
          <w:rFonts w:hint="eastAsia"/>
        </w:rPr>
        <w:t>u</w:t>
      </w:r>
      <w:r>
        <w:t xml:space="preserve">n </w:t>
      </w:r>
      <w:r w:rsidR="00D35F5E">
        <w:t xml:space="preserve">to participate in the index futures market actively </w:t>
      </w:r>
      <w:r>
        <w:rPr>
          <w:rFonts w:hint="eastAsia"/>
        </w:rPr>
        <w:t xml:space="preserve">by </w:t>
      </w:r>
      <w:r w:rsidR="00D35F5E">
        <w:t>using U</w:t>
      </w:r>
      <w:r>
        <w:rPr>
          <w:rFonts w:hint="eastAsia"/>
        </w:rPr>
        <w:t>.</w:t>
      </w:r>
      <w:r w:rsidR="00D35F5E">
        <w:t>S</w:t>
      </w:r>
      <w:r>
        <w:rPr>
          <w:rFonts w:hint="eastAsia"/>
        </w:rPr>
        <w:t>.</w:t>
      </w:r>
      <w:r w:rsidR="00D35F5E">
        <w:t xml:space="preserve"> market information after the crisis. </w:t>
      </w:r>
      <w:r>
        <w:rPr>
          <w:rFonts w:hint="eastAsia"/>
        </w:rPr>
        <w:t>Moreover,</w:t>
      </w:r>
      <w:r>
        <w:t xml:space="preserve"> </w:t>
      </w:r>
      <w:r w:rsidR="00D35F5E">
        <w:t>foreign investors become net purchasers when the U</w:t>
      </w:r>
      <w:r>
        <w:rPr>
          <w:rFonts w:hint="eastAsia"/>
        </w:rPr>
        <w:t>.</w:t>
      </w:r>
      <w:r w:rsidR="00D35F5E">
        <w:t>S</w:t>
      </w:r>
      <w:r>
        <w:rPr>
          <w:rFonts w:hint="eastAsia"/>
        </w:rPr>
        <w:t>.</w:t>
      </w:r>
      <w:r w:rsidR="00D35F5E">
        <w:t xml:space="preserve"> stock market increases in the futures market (when the U</w:t>
      </w:r>
      <w:r>
        <w:rPr>
          <w:rFonts w:hint="eastAsia"/>
        </w:rPr>
        <w:t>.</w:t>
      </w:r>
      <w:r w:rsidR="00D35F5E">
        <w:t>S</w:t>
      </w:r>
      <w:r>
        <w:rPr>
          <w:rFonts w:hint="eastAsia"/>
        </w:rPr>
        <w:t>.</w:t>
      </w:r>
      <w:r w:rsidR="00D35F5E">
        <w:t xml:space="preserve"> market falls</w:t>
      </w:r>
      <w:r>
        <w:rPr>
          <w:rFonts w:hint="eastAsia"/>
        </w:rPr>
        <w:t>,</w:t>
      </w:r>
      <w:r w:rsidR="00D35F5E">
        <w:t xml:space="preserve"> the opposite behavior appears) just like in the cash market. Individual investors are consistently net sellers before and after the crisis when the U</w:t>
      </w:r>
      <w:r>
        <w:rPr>
          <w:rFonts w:hint="eastAsia"/>
        </w:rPr>
        <w:t>.</w:t>
      </w:r>
      <w:r w:rsidR="00D35F5E">
        <w:t>S</w:t>
      </w:r>
      <w:r>
        <w:rPr>
          <w:rFonts w:hint="eastAsia"/>
        </w:rPr>
        <w:t>.</w:t>
      </w:r>
      <w:r w:rsidR="00D35F5E">
        <w:t xml:space="preserve"> market rises. Institutional investors are net purchasers before the crisis </w:t>
      </w:r>
      <w:r>
        <w:rPr>
          <w:rFonts w:hint="eastAsia"/>
        </w:rPr>
        <w:t>and</w:t>
      </w:r>
      <w:r w:rsidR="00D35F5E">
        <w:t xml:space="preserve"> net sellers after the crisis in response to </w:t>
      </w:r>
      <w:r>
        <w:rPr>
          <w:rFonts w:hint="eastAsia"/>
        </w:rPr>
        <w:t>increases in the</w:t>
      </w:r>
      <w:r>
        <w:t xml:space="preserve"> </w:t>
      </w:r>
      <w:r w:rsidR="00D35F5E">
        <w:t>U</w:t>
      </w:r>
      <w:r>
        <w:rPr>
          <w:rFonts w:hint="eastAsia"/>
        </w:rPr>
        <w:t>.</w:t>
      </w:r>
      <w:r w:rsidR="00D35F5E">
        <w:t>S</w:t>
      </w:r>
      <w:r>
        <w:rPr>
          <w:rFonts w:hint="eastAsia"/>
        </w:rPr>
        <w:t>.</w:t>
      </w:r>
      <w:r w:rsidR="00D35F5E">
        <w:t xml:space="preserve"> market.  </w:t>
      </w:r>
    </w:p>
    <w:p w:rsidR="00A44840" w:rsidRDefault="004E4790">
      <w:r>
        <w:rPr>
          <w:noProof/>
        </w:rPr>
      </w:r>
      <w:r w:rsidR="003D65C8">
        <w:rPr>
          <w:noProof/>
        </w:rPr>
        <w:pict>
          <v:rect id="_x0000_s1113037359" o:spid="_x0000_s1033"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pgLtAIAAK0FAAAOAAAAZHJzL2Uyb0RvYy54bWysVFFvmzAQfp+0/2D5nYIJIQGVVG0I06Ru&#10;q9TtuXLABGtgI9sN6ar9951NSJvuZdrGAzrb57vv7vt8l1eHrkV7pjSXIsPkIsCIiVJWXOwy/O1r&#10;4S0x0oaKirZSsAw/MY2vVu/fXQ59ykLZyLZiCkEQodOhz3BjTJ/6vi4b1lF9IXsm4LCWqqMGlmrn&#10;V4oOEL1r/TAIYn+QquqVLJnWsJuPh3jl4tc1K82XutbMoDbDgM24v3L/rf37q0ua7hTtG14eYdC/&#10;QNFRLiDpKVRODUWPiv8WquOlklrW5qKUnS/rmpfM1QDVkOBNNfcN7ZmrBZqj+1Ob9P8LW37e3ynE&#10;K+BujpGgHXD0cAjge9CEkFkwW8zmiW3T0OsUvO/7O2UL1f2tLL9rJOS6oWLHrpWSQ8NoBeCI9ffP&#10;LtiFhqtoO3ySFSShj0a6jh1q1dmA0At0cMQ8nYhhB4NK2IxJGCxiAFjC2TIkceKY82k63e6VNh+Y&#10;7JA1MqyAeBed7m+1sWhoOrnYZEIWvG0d+a042wDHcQdyw1V7ZlE4Lp+TINksN8vIi8J440VBnnvX&#10;xTry4oIs5vksX69z8tPmJVHa8KpiwqaZdEWiP+PtqPBRESdladnyyoazkLTabdetQnsKui7c53oO&#10;Jy9u/jkM1wSo5U1JJIyCmzDxini58KIimnvJIlh6AUlukjiIkigvzku65YL9e0loyHAyD+eOpVeg&#10;39RmlRhMZJ+5ddzA5Gh5B4o4OdHUSnAjKketobwd7VetsPBfWgF0T0Q7wVqNjlo3h+3BPYzFpP6t&#10;rJ5AwUqCwGCWwNQDo5HqB0YDTJAMCxhxGLUfBbwBO2wmQ03GdjKoKOFihg1Go7k241B67BXfNRCX&#10;jI3pr+GdFNxJ2L6hEcPxdcFMcJUc55cdOq/Xzutlyq5+AQAA//8DAFBLAwQUAAYACAAAACEALwbj&#10;AdYAAAAFAQAADwAAAGRycy9kb3ducmV2LnhtbEyPzWrDMBCE74W8g9hCb43UHEpwLYdSCKSllzh9&#10;AMVa/1Bp10hK7Lx9lFJoL8sOs8x+U25m78QZQxyYNDwtFQikhu1AnYavw/ZxDSImQ9Y4JtRwwQib&#10;anFXmsLyRHs816kTOYRiYTT0KY2FlLHp0Zu45BEpey0Hb1KWoZM2mCmHeydXSj1LbwbKH3oz4luP&#10;zXd98hrkod5O69oFxR+r9tO97/YtstYP9/PrC4iEc/o7hht+RocqMx35RDYKpyEXST/z5imV5fF3&#10;kVUp/9NXVwAAAP//AwBQSwECLQAUAAYACAAAACEAtoM4kv4AAADhAQAAEwAAAAAAAAAAAAAAAAAA&#10;AAAAW0NvbnRlbnRfVHlwZXNdLnhtbFBLAQItABQABgAIAAAAIQA4/SH/1gAAAJQBAAALAAAAAAAA&#10;AAAAAAAAAC8BAABfcmVscy8ucmVsc1BLAQItABQABgAIAAAAIQCTQpgLtAIAAK0FAAAOAAAAAAAA&#10;AAAAAAAAAC4CAABkcnMvZTJvRG9jLnhtbFBLAQItABQABgAIAAAAIQAvBuMB1gAAAAUBAAAPAAAA&#10;AAAAAAAAAAAAAA4FAABkcnMvZG93bnJldi54bWxQSwUGAAAAAAQABADzAAAAEQYAAAAA&#10;" filled="f" stroked="f">
            <v:textbox style="mso-fit-shape-to-text:t" inset="0,0,0,0">
              <w:txbxContent>
                <w:p w:rsidR="006B03CF" w:rsidRDefault="006B03CF">
                  <w:pPr>
                    <w:pStyle w:val="af1"/>
                  </w:pPr>
                  <w:r>
                    <w:t xml:space="preserve">&lt;Table </w:t>
                  </w:r>
                  <w:r>
                    <w:fldChar w:fldCharType="begin"/>
                  </w:r>
                  <w:r>
                    <w:instrText>SEQ 표\* ARABIC\r 2</w:instrText>
                  </w:r>
                  <w:r>
                    <w:fldChar w:fldCharType="separate"/>
                  </w:r>
                  <w:r>
                    <w:rPr>
                      <w:noProof/>
                    </w:rPr>
                    <w:t>2</w:t>
                  </w:r>
                  <w:r>
                    <w:rPr>
                      <w:noProof/>
                    </w:rPr>
                    <w:fldChar w:fldCharType="end"/>
                  </w:r>
                  <w:r>
                    <w:t>&gt; Trading behavior for each group in response to S&amp;P</w:t>
                  </w:r>
                  <w:r>
                    <w:rPr>
                      <w:rFonts w:hint="eastAsia"/>
                    </w:rPr>
                    <w:t xml:space="preserve"> </w:t>
                  </w:r>
                  <w:r>
                    <w:t xml:space="preserve">500 change </w:t>
                  </w:r>
                </w:p>
                <w:p w:rsidR="006B03CF" w:rsidRDefault="006B03CF">
                  <w:pPr>
                    <w:pStyle w:val="af"/>
                  </w:pPr>
                  <w:r>
                    <w:t>The table is based on equation</w:t>
                  </w:r>
                  <w:r>
                    <w:rPr>
                      <w:rFonts w:hint="eastAsia"/>
                    </w:rPr>
                    <w:t xml:space="preserve"> </w:t>
                  </w:r>
                  <w:r>
                    <w:t>(9)</w:t>
                  </w:r>
                  <m:oMath>
                    <m:sSub>
                      <m:sSubPr>
                        <m:ctrlPr>
                          <w:rPr>
                            <w:rFonts w:ascii="Cambria Math" w:hAnsi="Cambria Math"/>
                          </w:rPr>
                        </m:ctrlPr>
                      </m:sSubPr>
                      <m:e>
                        <m:r>
                          <m:rPr>
                            <m:sty m:val="p"/>
                          </m:rPr>
                          <w:rPr>
                            <w:rFonts w:ascii="Cambria Math"/>
                          </w:rPr>
                          <m:t>B</m:t>
                        </m:r>
                      </m:e>
                      <m:sub>
                        <m:r>
                          <m:rPr>
                            <m:sty m:val="p"/>
                          </m:rPr>
                          <w:rPr>
                            <w:rFonts w:ascii="Cambria Math"/>
                          </w:rPr>
                          <m:t>k,q,t</m:t>
                        </m:r>
                      </m:sub>
                    </m:sSub>
                    <m:r>
                      <m:rPr>
                        <m:sty m:val="p"/>
                      </m:rPr>
                      <w:rPr>
                        <w:rFonts w:ascii="Cambria Math"/>
                      </w:rPr>
                      <m:t>=c</m:t>
                    </m:r>
                    <m:sSub>
                      <m:sSubPr>
                        <m:ctrlPr>
                          <w:rPr>
                            <w:rFonts w:ascii="Cambria Math" w:hAnsi="Cambria Math"/>
                          </w:rPr>
                        </m:ctrlPr>
                      </m:sSubPr>
                      <m:e>
                        <m:r>
                          <m:rPr>
                            <m:sty m:val="p"/>
                          </m:rPr>
                          <w:rPr>
                            <w:rFonts w:ascii="Cambria Math"/>
                          </w:rPr>
                          <m:t> </m:t>
                        </m:r>
                      </m:e>
                      <m:sub>
                        <m:r>
                          <m:rPr>
                            <m:sty m:val="p"/>
                          </m:rPr>
                          <w:rPr>
                            <w:rFonts w:ascii="Cambria Math"/>
                          </w:rPr>
                          <m:t>k,q</m:t>
                        </m:r>
                      </m:sub>
                    </m:sSub>
                    <m:r>
                      <m:rPr>
                        <m:sty m:val="p"/>
                      </m:rPr>
                      <w:rPr>
                        <w:rFonts w:ascii="Cambria Math"/>
                      </w:rPr>
                      <m:t>+d</m:t>
                    </m:r>
                    <m:sSub>
                      <m:sSubPr>
                        <m:ctrlPr>
                          <w:rPr>
                            <w:rFonts w:ascii="Cambria Math" w:hAnsi="Cambria Math"/>
                          </w:rPr>
                        </m:ctrlPr>
                      </m:sSubPr>
                      <m:e>
                        <m:r>
                          <m:rPr>
                            <m:sty m:val="p"/>
                          </m:rPr>
                          <w:rPr>
                            <w:rFonts w:ascii="Cambria Math"/>
                          </w:rPr>
                          <m:t> </m:t>
                        </m:r>
                      </m:e>
                      <m:sub>
                        <m:r>
                          <m:rPr>
                            <m:sty m:val="p"/>
                          </m:rPr>
                          <w:rPr>
                            <w:rFonts w:ascii="Cambria Math"/>
                          </w:rPr>
                          <m:t>k,q</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ν</m:t>
                        </m:r>
                      </m:e>
                      <m:sub>
                        <m:r>
                          <m:rPr>
                            <m:sty m:val="p"/>
                          </m:rPr>
                          <w:rPr>
                            <w:rFonts w:ascii="Cambria Math"/>
                          </w:rPr>
                          <m:t>k,q,t</m:t>
                        </m:r>
                      </m:sub>
                    </m:sSub>
                  </m:oMath>
                  <w:r>
                    <w:t xml:space="preserve">. </w:t>
                  </w:r>
                  <m:oMath>
                    <m:sSub>
                      <m:sSubPr>
                        <m:ctrlPr>
                          <w:rPr>
                            <w:rFonts w:ascii="Cambria Math" w:hAnsi="Cambria Math"/>
                          </w:rPr>
                        </m:ctrlPr>
                      </m:sSubPr>
                      <m:e>
                        <m:r>
                          <m:rPr>
                            <m:sty m:val="p"/>
                          </m:rPr>
                          <w:rPr>
                            <w:rFonts w:ascii="Cambria Math"/>
                          </w:rPr>
                          <m:t>B</m:t>
                        </m:r>
                      </m:e>
                      <m:sub>
                        <m:r>
                          <m:rPr>
                            <m:sty m:val="p"/>
                          </m:rPr>
                          <w:rPr>
                            <w:rFonts w:ascii="Cambria Math"/>
                          </w:rPr>
                          <m:t>k,q,t</m:t>
                        </m:r>
                      </m:sub>
                    </m:sSub>
                  </m:oMath>
                  <w:r>
                    <w:t xml:space="preserve"> </w:t>
                  </w:r>
                  <w:proofErr w:type="gramStart"/>
                  <w:r>
                    <w:t>is</w:t>
                  </w:r>
                  <w:proofErr w:type="gramEnd"/>
                  <w:r>
                    <w:t xml:space="preserve"> the net purchase ratio for  market k</w:t>
                  </w:r>
                  <w:r>
                    <w:rPr>
                      <w:rFonts w:hint="eastAsia"/>
                    </w:rPr>
                    <w:t xml:space="preserve"> </w:t>
                  </w:r>
                  <w:r>
                    <w:t>(cash or futures)</w:t>
                  </w:r>
                  <w:r>
                    <w:rPr>
                      <w:rFonts w:hint="eastAsia"/>
                    </w:rPr>
                    <w:t xml:space="preserve"> </w:t>
                  </w:r>
                  <w:r>
                    <w:t>for investor q</w:t>
                  </w:r>
                  <w:r>
                    <w:rPr>
                      <w:rFonts w:hint="eastAsia"/>
                    </w:rPr>
                    <w:t xml:space="preserve"> </w:t>
                  </w:r>
                  <w:r>
                    <w:t>(foreign investors, institutional investors, individual investors)</w:t>
                  </w:r>
                  <w:r>
                    <w:rPr>
                      <w:rFonts w:hint="eastAsia"/>
                    </w:rPr>
                    <w:t>.</w:t>
                  </w:r>
                  <w:r>
                    <w:t xml:space="preserve"> The value in () are t-values. * denotes</w:t>
                  </w:r>
                  <w:r>
                    <w:rPr>
                      <w:rFonts w:hint="eastAsia"/>
                    </w:rPr>
                    <w:t xml:space="preserve"> a</w:t>
                  </w:r>
                  <w:r>
                    <w:t xml:space="preserve"> 5% significance level</w:t>
                  </w:r>
                  <w:r>
                    <w:rPr>
                      <w:rFonts w:hint="eastAsia"/>
                    </w:rPr>
                    <w:t xml:space="preserve"> and</w:t>
                  </w:r>
                  <w:r>
                    <w:t xml:space="preserve"> ** denotes </w:t>
                  </w:r>
                  <w:r>
                    <w:rPr>
                      <w:rFonts w:hint="eastAsia"/>
                    </w:rPr>
                    <w:t>a</w:t>
                  </w:r>
                  <w:r>
                    <w:t xml:space="preserve"> 1% significance level.</w:t>
                  </w: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737"/>
        <w:gridCol w:w="783"/>
        <w:gridCol w:w="1134"/>
        <w:gridCol w:w="1276"/>
        <w:gridCol w:w="1134"/>
        <w:gridCol w:w="1559"/>
        <w:gridCol w:w="1276"/>
        <w:gridCol w:w="1701"/>
      </w:tblGrid>
      <w:tr w:rsidR="00A44840" w:rsidTr="00172D02">
        <w:trPr>
          <w:trHeight w:val="340"/>
        </w:trPr>
        <w:tc>
          <w:tcPr>
            <w:tcW w:w="1520"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A44840">
            <w:pPr>
              <w:pStyle w:val="af0"/>
              <w:rPr>
                <w:sz w:val="20"/>
                <w:szCs w:val="20"/>
              </w:rPr>
            </w:pPr>
          </w:p>
        </w:tc>
        <w:tc>
          <w:tcPr>
            <w:tcW w:w="2410" w:type="dxa"/>
            <w:gridSpan w:val="2"/>
            <w:tcBorders>
              <w:top w:val="single" w:sz="3" w:space="0" w:color="000000"/>
              <w:left w:val="nil"/>
              <w:bottom w:val="single" w:sz="3" w:space="0" w:color="000000"/>
              <w:right w:val="single" w:sz="3" w:space="0" w:color="000000"/>
              <w:tl2br w:val="nil"/>
              <w:tr2bl w:val="nil"/>
            </w:tcBorders>
            <w:tcMar>
              <w:right w:w="56" w:type="dxa"/>
            </w:tcMar>
            <w:vAlign w:val="center"/>
          </w:tcPr>
          <w:p w:rsidR="00A44840" w:rsidRDefault="003230B7">
            <w:pPr>
              <w:pStyle w:val="af0"/>
              <w:rPr>
                <w:sz w:val="20"/>
                <w:szCs w:val="20"/>
              </w:rPr>
            </w:pPr>
            <w:r>
              <w:rPr>
                <w:rFonts w:hint="eastAsia"/>
                <w:sz w:val="20"/>
                <w:szCs w:val="20"/>
              </w:rPr>
              <w:t xml:space="preserve">Entire </w:t>
            </w:r>
            <w:r w:rsidR="00D35F5E">
              <w:rPr>
                <w:sz w:val="20"/>
                <w:szCs w:val="20"/>
              </w:rPr>
              <w:t>period</w:t>
            </w:r>
          </w:p>
        </w:tc>
        <w:tc>
          <w:tcPr>
            <w:tcW w:w="2693" w:type="dxa"/>
            <w:gridSpan w:val="2"/>
            <w:tcBorders>
              <w:top w:val="single" w:sz="3" w:space="0" w:color="000000"/>
              <w:left w:val="nil"/>
              <w:bottom w:val="single" w:sz="3" w:space="0" w:color="000000"/>
              <w:right w:val="single" w:sz="3" w:space="0" w:color="000000"/>
              <w:tl2br w:val="nil"/>
              <w:tr2bl w:val="nil"/>
            </w:tcBorders>
            <w:tcMar>
              <w:right w:w="56" w:type="dxa"/>
            </w:tcMar>
            <w:vAlign w:val="center"/>
          </w:tcPr>
          <w:p w:rsidR="00A44840" w:rsidRDefault="007A5225">
            <w:pPr>
              <w:pStyle w:val="af0"/>
              <w:rPr>
                <w:sz w:val="20"/>
                <w:szCs w:val="20"/>
              </w:rPr>
            </w:pPr>
            <w:r>
              <w:rPr>
                <w:rFonts w:hint="eastAsia"/>
                <w:sz w:val="20"/>
                <w:szCs w:val="20"/>
              </w:rPr>
              <w:t>Pre-</w:t>
            </w:r>
            <w:r w:rsidR="00D35F5E">
              <w:rPr>
                <w:sz w:val="20"/>
                <w:szCs w:val="20"/>
              </w:rPr>
              <w:t xml:space="preserve">crisis　</w:t>
            </w:r>
          </w:p>
        </w:tc>
        <w:tc>
          <w:tcPr>
            <w:tcW w:w="2977" w:type="dxa"/>
            <w:gridSpan w:val="2"/>
            <w:tcBorders>
              <w:top w:val="single" w:sz="3" w:space="0" w:color="000000"/>
              <w:left w:val="nil"/>
              <w:bottom w:val="single" w:sz="3" w:space="0" w:color="000000"/>
              <w:right w:val="nil"/>
              <w:tl2br w:val="nil"/>
              <w:tr2bl w:val="nil"/>
            </w:tcBorders>
            <w:tcMar>
              <w:right w:w="56" w:type="dxa"/>
            </w:tcMar>
            <w:vAlign w:val="center"/>
          </w:tcPr>
          <w:p w:rsidR="00A44840" w:rsidRDefault="007A5225">
            <w:pPr>
              <w:pStyle w:val="af0"/>
              <w:rPr>
                <w:sz w:val="20"/>
                <w:szCs w:val="20"/>
              </w:rPr>
            </w:pPr>
            <w:r>
              <w:rPr>
                <w:rFonts w:hint="eastAsia"/>
                <w:sz w:val="20"/>
                <w:szCs w:val="20"/>
              </w:rPr>
              <w:t>Post-</w:t>
            </w:r>
            <w:r w:rsidR="00D35F5E">
              <w:rPr>
                <w:sz w:val="20"/>
                <w:szCs w:val="20"/>
              </w:rPr>
              <w:t>crisis</w:t>
            </w:r>
          </w:p>
        </w:tc>
      </w:tr>
      <w:tr w:rsidR="00A44840" w:rsidTr="00172D02">
        <w:trPr>
          <w:trHeight w:val="340"/>
        </w:trPr>
        <w:tc>
          <w:tcPr>
            <w:tcW w:w="1520" w:type="dxa"/>
            <w:gridSpan w:val="2"/>
            <w:tcBorders>
              <w:top w:val="nil"/>
              <w:left w:val="nil"/>
              <w:bottom w:val="single" w:sz="3" w:space="0" w:color="000000"/>
              <w:right w:val="single" w:sz="3" w:space="0" w:color="000000"/>
              <w:tl2br w:val="nil"/>
              <w:tr2bl w:val="nil"/>
            </w:tcBorders>
            <w:vAlign w:val="center"/>
          </w:tcPr>
          <w:p w:rsidR="00A44840" w:rsidRDefault="00D35F5E">
            <w:pPr>
              <w:pStyle w:val="af0"/>
              <w:rPr>
                <w:sz w:val="20"/>
                <w:szCs w:val="20"/>
              </w:rPr>
            </w:pPr>
            <w:r>
              <w:rPr>
                <w:b/>
                <w:bCs/>
                <w:sz w:val="20"/>
                <w:szCs w:val="20"/>
              </w:rPr>
              <w:t>Spot</w:t>
            </w: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276" w:type="dxa"/>
            <w:tcBorders>
              <w:top w:val="nil"/>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559" w:type="dxa"/>
            <w:tcBorders>
              <w:top w:val="nil"/>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276"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701" w:type="dxa"/>
            <w:tcBorders>
              <w:top w:val="nil"/>
              <w:left w:val="nil"/>
              <w:bottom w:val="single" w:sz="3" w:space="0" w:color="000000"/>
              <w:right w:val="nil"/>
              <w:tl2br w:val="nil"/>
              <w:tr2bl w:val="nil"/>
            </w:tcBorders>
            <w:tcMar>
              <w:left w:w="56" w:type="dxa"/>
            </w:tcMar>
            <w:vAlign w:val="center"/>
          </w:tcPr>
          <w:p w:rsidR="00A44840" w:rsidRDefault="00D35F5E">
            <w:pPr>
              <w:pStyle w:val="af0"/>
              <w:jc w:val="left"/>
              <w:rPr>
                <w:sz w:val="20"/>
                <w:szCs w:val="20"/>
              </w:rPr>
            </w:pPr>
            <w:r>
              <w:rPr>
                <w:sz w:val="20"/>
                <w:szCs w:val="20"/>
              </w:rPr>
              <w:t>(t-value )</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Foreigners</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-0.1115</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(-3.60**)</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0.0148</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(0.39)</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-0.2742</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(-5.38**)</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0.2417</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(10.70**)</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0.2691</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(7.56**)</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0.2269</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(7.50**)</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0.0381</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(0.0340</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0.0426</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114.44**</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(57.19**)</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56.20**</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lastRenderedPageBreak/>
              <w:t>Institutions</w:t>
            </w:r>
          </w:p>
        </w:tc>
        <w:tc>
          <w:tcPr>
            <w:tcW w:w="783"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-0.1440</w:t>
            </w:r>
          </w:p>
        </w:tc>
        <w:tc>
          <w:tcPr>
            <w:tcW w:w="1276"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(-4.58**)</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-0.2376</w:t>
            </w:r>
          </w:p>
        </w:tc>
        <w:tc>
          <w:tcPr>
            <w:tcW w:w="1559"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(-5.57**)</w:t>
            </w:r>
          </w:p>
        </w:tc>
        <w:tc>
          <w:tcPr>
            <w:tcW w:w="1276"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-0.0238</w:t>
            </w:r>
          </w:p>
        </w:tc>
        <w:tc>
          <w:tcPr>
            <w:tcW w:w="1701" w:type="dxa"/>
            <w:tcBorders>
              <w:top w:val="single" w:sz="3"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(-0.51)</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0.0222</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(0.97)</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0.0199</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(0.50)</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0.0239</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(0.87)</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0.0003</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0.0002</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0.0006</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0.94</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0.25</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0.76</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Individuals</w:t>
            </w:r>
          </w:p>
        </w:tc>
        <w:tc>
          <w:tcPr>
            <w:tcW w:w="783"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0.3874</w:t>
            </w:r>
          </w:p>
        </w:tc>
        <w:tc>
          <w:tcPr>
            <w:tcW w:w="1276"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(10.02**)</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0.3836</w:t>
            </w:r>
          </w:p>
        </w:tc>
        <w:tc>
          <w:tcPr>
            <w:tcW w:w="1559"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(7.67**)</w:t>
            </w:r>
          </w:p>
        </w:tc>
        <w:tc>
          <w:tcPr>
            <w:tcW w:w="1276"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0.3925</w:t>
            </w:r>
          </w:p>
        </w:tc>
        <w:tc>
          <w:tcPr>
            <w:tcW w:w="1701" w:type="dxa"/>
            <w:tcBorders>
              <w:top w:val="single" w:sz="3"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(6.47**)</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-0.2397</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(-8.51**)</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-0.2626</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(-5.61**)</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-0.2279</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(-6.33**)</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0.0244</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0.0190</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0.0307</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72.39**</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righ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31.47**</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righ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40.01**</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right"/>
              <w:rPr>
                <w:sz w:val="20"/>
                <w:szCs w:val="20"/>
              </w:rPr>
            </w:pPr>
          </w:p>
        </w:tc>
      </w:tr>
      <w:tr w:rsidR="00A44840" w:rsidTr="00172D02">
        <w:trPr>
          <w:trHeight w:val="340"/>
        </w:trPr>
        <w:tc>
          <w:tcPr>
            <w:tcW w:w="1520" w:type="dxa"/>
            <w:gridSpan w:val="2"/>
            <w:tcBorders>
              <w:top w:val="double" w:sz="15"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Futures</w:t>
            </w:r>
          </w:p>
        </w:tc>
        <w:tc>
          <w:tcPr>
            <w:tcW w:w="1134" w:type="dxa"/>
            <w:tcBorders>
              <w:top w:val="double" w:sz="15"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276" w:type="dxa"/>
            <w:tcBorders>
              <w:top w:val="double" w:sz="15"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double" w:sz="15"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559" w:type="dxa"/>
            <w:tcBorders>
              <w:top w:val="double" w:sz="15"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276" w:type="dxa"/>
            <w:tcBorders>
              <w:top w:val="double" w:sz="15"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701" w:type="dxa"/>
            <w:tcBorders>
              <w:top w:val="double" w:sz="15"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(t-value )</w:t>
            </w:r>
          </w:p>
        </w:tc>
      </w:tr>
      <w:tr w:rsidR="00A44840" w:rsidTr="00172D02">
        <w:trPr>
          <w:trHeight w:val="340"/>
        </w:trPr>
        <w:tc>
          <w:tcPr>
            <w:tcW w:w="737"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Foreigners</w:t>
            </w:r>
          </w:p>
        </w:tc>
        <w:tc>
          <w:tcPr>
            <w:tcW w:w="783"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0.0227</w:t>
            </w:r>
          </w:p>
        </w:tc>
        <w:tc>
          <w:tcPr>
            <w:tcW w:w="1276"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(0.64)</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0.0340</w:t>
            </w:r>
          </w:p>
        </w:tc>
        <w:tc>
          <w:tcPr>
            <w:tcW w:w="1559"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(0.61)</w:t>
            </w:r>
          </w:p>
        </w:tc>
        <w:tc>
          <w:tcPr>
            <w:tcW w:w="1276"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0.0087</w:t>
            </w:r>
          </w:p>
        </w:tc>
        <w:tc>
          <w:tcPr>
            <w:tcW w:w="1701" w:type="dxa"/>
            <w:tcBorders>
              <w:top w:val="single" w:sz="3"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(0.23)</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0.1135</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(4.38**)</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0.0572</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(1.10)</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0.1426</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(6.27**)</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0.0066</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0.0007</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0.0302</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19.22**</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1.20</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39.36**</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Institutions</w:t>
            </w:r>
          </w:p>
        </w:tc>
        <w:tc>
          <w:tcPr>
            <w:tcW w:w="783"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-0.0199</w:t>
            </w:r>
          </w:p>
        </w:tc>
        <w:tc>
          <w:tcPr>
            <w:tcW w:w="1276"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(-0.72)</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-0.0249</w:t>
            </w:r>
          </w:p>
        </w:tc>
        <w:tc>
          <w:tcPr>
            <w:tcW w:w="1559"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(-0.58)</w:t>
            </w:r>
          </w:p>
        </w:tc>
        <w:tc>
          <w:tcPr>
            <w:tcW w:w="1276"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-0.0148</w:t>
            </w:r>
          </w:p>
        </w:tc>
        <w:tc>
          <w:tcPr>
            <w:tcW w:w="1701" w:type="dxa"/>
            <w:tcBorders>
              <w:top w:val="single" w:sz="3"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(-0.49)</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-0.0057</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(-0.28)</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0.1035</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(2.57*)</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-0.0621</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(-3.46**)</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0.0000</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0.0040</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0.0094</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0.08</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6.59*</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12.00**</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Individuals</w:t>
            </w:r>
          </w:p>
        </w:tc>
        <w:tc>
          <w:tcPr>
            <w:tcW w:w="783"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Intercept</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-0.0028</w:t>
            </w:r>
          </w:p>
        </w:tc>
        <w:tc>
          <w:tcPr>
            <w:tcW w:w="1276"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(-0.11)</w:t>
            </w:r>
          </w:p>
        </w:tc>
        <w:tc>
          <w:tcPr>
            <w:tcW w:w="1134"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-0.0092</w:t>
            </w:r>
          </w:p>
        </w:tc>
        <w:tc>
          <w:tcPr>
            <w:tcW w:w="1559" w:type="dxa"/>
            <w:tcBorders>
              <w:top w:val="single" w:sz="3" w:space="0" w:color="000000"/>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(-0.22)</w:t>
            </w:r>
          </w:p>
        </w:tc>
        <w:tc>
          <w:tcPr>
            <w:tcW w:w="1276" w:type="dxa"/>
            <w:tcBorders>
              <w:top w:val="single" w:sz="3" w:space="0" w:color="000000"/>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0.0061</w:t>
            </w:r>
          </w:p>
        </w:tc>
        <w:tc>
          <w:tcPr>
            <w:tcW w:w="1701" w:type="dxa"/>
            <w:tcBorders>
              <w:top w:val="single" w:sz="3" w:space="0" w:color="000000"/>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(0.30)</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Slope</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-0.1078</w:t>
            </w:r>
          </w:p>
        </w:tc>
        <w:tc>
          <w:tcPr>
            <w:tcW w:w="1276"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(-5.99**)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-0.1607</w:t>
            </w:r>
          </w:p>
        </w:tc>
        <w:tc>
          <w:tcPr>
            <w:tcW w:w="1559"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(-4.19**)</w:t>
            </w: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-0.0805</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(-6.66**)</w:t>
            </w:r>
          </w:p>
        </w:tc>
      </w:tr>
      <w:tr w:rsidR="00A44840" w:rsidTr="00172D02">
        <w:trPr>
          <w:trHeight w:val="340"/>
        </w:trPr>
        <w:tc>
          <w:tcPr>
            <w:tcW w:w="737"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783" w:type="dxa"/>
            <w:tcBorders>
              <w:top w:val="nil"/>
              <w:left w:val="nil"/>
              <w:bottom w:val="nil"/>
              <w:right w:val="single" w:sz="3" w:space="0" w:color="000000"/>
              <w:tl2br w:val="nil"/>
              <w:tr2bl w:val="nil"/>
            </w:tcBorders>
            <w:vAlign w:val="center"/>
          </w:tcPr>
          <w:p w:rsidR="00A44840" w:rsidRDefault="00D35F5E">
            <w:pPr>
              <w:pStyle w:val="af0"/>
              <w:rPr>
                <w:sz w:val="20"/>
                <w:szCs w:val="20"/>
                <w:vertAlign w:val="superscript"/>
              </w:rPr>
            </w:pPr>
            <w:r>
              <w:rPr>
                <w:sz w:val="20"/>
                <w:szCs w:val="20"/>
              </w:rPr>
              <w:t>R</w:t>
            </w:r>
            <w:r>
              <w:rPr>
                <w:sz w:val="20"/>
                <w:szCs w:val="20"/>
                <w:vertAlign w:val="superscript"/>
              </w:rPr>
              <w:t>2</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0.0123</w:t>
            </w:r>
          </w:p>
        </w:tc>
        <w:tc>
          <w:tcPr>
            <w:tcW w:w="1276"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0.0107</w:t>
            </w:r>
          </w:p>
        </w:tc>
        <w:tc>
          <w:tcPr>
            <w:tcW w:w="1559"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0.0339</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737" w:type="dxa"/>
            <w:tcBorders>
              <w:top w:val="nil"/>
              <w:left w:val="nil"/>
              <w:bottom w:val="single" w:sz="3" w:space="0" w:color="000000"/>
              <w:right w:val="single" w:sz="3" w:space="0" w:color="000000"/>
              <w:tl2br w:val="nil"/>
              <w:tr2bl w:val="nil"/>
            </w:tcBorders>
            <w:vAlign w:val="center"/>
          </w:tcPr>
          <w:p w:rsidR="00A44840" w:rsidRDefault="00A44840">
            <w:pPr>
              <w:pStyle w:val="af0"/>
              <w:rPr>
                <w:sz w:val="20"/>
                <w:szCs w:val="20"/>
              </w:rPr>
            </w:pPr>
          </w:p>
        </w:tc>
        <w:tc>
          <w:tcPr>
            <w:tcW w:w="783" w:type="dxa"/>
            <w:tcBorders>
              <w:top w:val="nil"/>
              <w:left w:val="nil"/>
              <w:bottom w:val="single" w:sz="3" w:space="0" w:color="000000"/>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35.84**</w:t>
            </w:r>
          </w:p>
        </w:tc>
        <w:tc>
          <w:tcPr>
            <w:tcW w:w="1276" w:type="dxa"/>
            <w:tcBorders>
              <w:top w:val="nil"/>
              <w:left w:val="nil"/>
              <w:bottom w:val="single" w:sz="3" w:space="0" w:color="000000"/>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17.55**</w:t>
            </w:r>
          </w:p>
        </w:tc>
        <w:tc>
          <w:tcPr>
            <w:tcW w:w="1559" w:type="dxa"/>
            <w:tcBorders>
              <w:top w:val="nil"/>
              <w:left w:val="nil"/>
              <w:bottom w:val="single" w:sz="3" w:space="0" w:color="000000"/>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276"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44.30**</w:t>
            </w:r>
          </w:p>
        </w:tc>
        <w:tc>
          <w:tcPr>
            <w:tcW w:w="1701" w:type="dxa"/>
            <w:tcBorders>
              <w:top w:val="nil"/>
              <w:left w:val="nil"/>
              <w:bottom w:val="single" w:sz="3" w:space="0" w:color="000000"/>
              <w:right w:val="nil"/>
              <w:tl2br w:val="nil"/>
              <w:tr2bl w:val="nil"/>
            </w:tcBorders>
            <w:tcMar>
              <w:left w:w="56" w:type="dxa"/>
            </w:tcMar>
            <w:vAlign w:val="center"/>
          </w:tcPr>
          <w:p w:rsidR="00A44840" w:rsidRDefault="00A44840">
            <w:pPr>
              <w:pStyle w:val="af0"/>
              <w:jc w:val="left"/>
              <w:rPr>
                <w:sz w:val="20"/>
                <w:szCs w:val="20"/>
              </w:rPr>
            </w:pPr>
          </w:p>
        </w:tc>
      </w:tr>
    </w:tbl>
    <w:p w:rsidR="00A44840" w:rsidRDefault="00A44840">
      <w:pPr>
        <w:rPr>
          <w:sz w:val="2"/>
        </w:rPr>
      </w:pPr>
    </w:p>
    <w:p w:rsidR="00A44840" w:rsidRDefault="00A44840">
      <w:pPr>
        <w:pStyle w:val="af1"/>
      </w:pPr>
    </w:p>
    <w:p w:rsidR="00A44840" w:rsidRDefault="00A44840">
      <w:pPr>
        <w:pStyle w:val="a8"/>
      </w:pPr>
    </w:p>
    <w:p w:rsidR="00A44840" w:rsidRDefault="00A44840">
      <w:pPr>
        <w:pStyle w:val="a8"/>
      </w:pPr>
    </w:p>
    <w:p w:rsidR="00A44840" w:rsidRDefault="00D35F5E">
      <w:pPr>
        <w:pStyle w:val="a8"/>
      </w:pPr>
      <w:r>
        <w:t>Generally speaking</w:t>
      </w:r>
      <w:r w:rsidR="007A5225">
        <w:rPr>
          <w:rFonts w:hint="eastAsia"/>
        </w:rPr>
        <w:t>,</w:t>
      </w:r>
      <w:r>
        <w:t xml:space="preserve"> foreigners and individuals show opposite investing behavior in response to U</w:t>
      </w:r>
      <w:r w:rsidR="007A5225">
        <w:rPr>
          <w:rFonts w:hint="eastAsia"/>
        </w:rPr>
        <w:t>.</w:t>
      </w:r>
      <w:r>
        <w:t>S</w:t>
      </w:r>
      <w:r w:rsidR="007A5225">
        <w:rPr>
          <w:rFonts w:hint="eastAsia"/>
        </w:rPr>
        <w:t>.</w:t>
      </w:r>
      <w:r>
        <w:t xml:space="preserve"> market news. This pattern is more evident in the cash market than in the futures market. We cannot judge that foreign investors are more informed </w:t>
      </w:r>
      <w:r>
        <w:lastRenderedPageBreak/>
        <w:t xml:space="preserve">than individual investors. The </w:t>
      </w:r>
      <w:proofErr w:type="spellStart"/>
      <w:r>
        <w:t>judgement</w:t>
      </w:r>
      <w:proofErr w:type="spellEnd"/>
      <w:r>
        <w:t xml:space="preserve"> should depend on the importance of the transfer effect of U</w:t>
      </w:r>
      <w:r w:rsidR="007A5225">
        <w:rPr>
          <w:rFonts w:hint="eastAsia"/>
        </w:rPr>
        <w:t>.</w:t>
      </w:r>
      <w:r>
        <w:t>S</w:t>
      </w:r>
      <w:r w:rsidR="007A5225">
        <w:rPr>
          <w:rFonts w:hint="eastAsia"/>
        </w:rPr>
        <w:t>.</w:t>
      </w:r>
      <w:r>
        <w:t xml:space="preserve"> market news </w:t>
      </w:r>
      <w:r w:rsidR="007A5225">
        <w:rPr>
          <w:rFonts w:hint="eastAsia"/>
        </w:rPr>
        <w:t>in</w:t>
      </w:r>
      <w:r w:rsidR="007A5225">
        <w:t xml:space="preserve"> </w:t>
      </w:r>
      <w:r>
        <w:t>Korean markets on date t+1 and t+2 and so on. If the U</w:t>
      </w:r>
      <w:r w:rsidR="007A5225">
        <w:rPr>
          <w:rFonts w:hint="eastAsia"/>
        </w:rPr>
        <w:t>.</w:t>
      </w:r>
      <w:r>
        <w:t>S</w:t>
      </w:r>
      <w:r w:rsidR="007A5225">
        <w:rPr>
          <w:rFonts w:hint="eastAsia"/>
        </w:rPr>
        <w:t>.</w:t>
      </w:r>
      <w:r>
        <w:t xml:space="preserve"> market news significantly affect not only the price on date t but also prices on date t+1 and t+2, the purchase or sales strategies based on U</w:t>
      </w:r>
      <w:r w:rsidR="007A5225">
        <w:rPr>
          <w:rFonts w:hint="eastAsia"/>
        </w:rPr>
        <w:t>.</w:t>
      </w:r>
      <w:r>
        <w:t>S</w:t>
      </w:r>
      <w:r w:rsidR="007A5225">
        <w:rPr>
          <w:rFonts w:hint="eastAsia"/>
        </w:rPr>
        <w:t>.</w:t>
      </w:r>
      <w:r>
        <w:t xml:space="preserve"> news on date t could become very clever investment strategies in the long run. </w:t>
      </w:r>
    </w:p>
    <w:p w:rsidR="00A44840" w:rsidRDefault="007A5225">
      <w:pPr>
        <w:pStyle w:val="a8"/>
      </w:pPr>
      <w:r>
        <w:rPr>
          <w:rFonts w:hint="eastAsia"/>
        </w:rPr>
        <w:t>The t</w:t>
      </w:r>
      <w:r>
        <w:t xml:space="preserve">ransfer </w:t>
      </w:r>
      <w:r w:rsidR="00D35F5E">
        <w:t>effect is estimated using</w:t>
      </w:r>
      <w:r>
        <w:rPr>
          <w:rFonts w:hint="eastAsia"/>
        </w:rPr>
        <w:t xml:space="preserve"> the</w:t>
      </w:r>
      <w:r w:rsidR="00D35F5E">
        <w:t xml:space="preserve"> transfer function model in equation</w:t>
      </w:r>
      <w:r>
        <w:rPr>
          <w:rFonts w:hint="eastAsia"/>
        </w:rPr>
        <w:t xml:space="preserve"> </w:t>
      </w:r>
      <w:r w:rsidR="00D35F5E">
        <w:t>(11).</w:t>
      </w:r>
    </w:p>
    <w:p w:rsidR="00A44840" w:rsidRDefault="00A44840">
      <w:pPr>
        <w:pStyle w:val="a8"/>
      </w:pPr>
    </w:p>
    <w:p w:rsidR="00A44840" w:rsidRDefault="004E4790">
      <w:pPr>
        <w:pStyle w:val="a8"/>
      </w:pPr>
      <m:oMath>
        <m:sSub>
          <m:sSubPr>
            <m:ctrlPr>
              <w:rPr>
                <w:rFonts w:ascii="Cambria Math" w:hAnsi="Cambria Math"/>
              </w:rPr>
            </m:ctrlPr>
          </m:sSubPr>
          <m:e>
            <m:r>
              <m:rPr>
                <m:sty m:val="p"/>
              </m:rPr>
              <w:rPr>
                <w:rFonts w:ascii="Cambria Math"/>
              </w:rPr>
              <m:t>r</m:t>
            </m:r>
          </m:e>
          <m:sub>
            <m:r>
              <m:rPr>
                <m:sty m:val="p"/>
              </m:rPr>
              <w:rPr>
                <w:rFonts w:ascii="Cambria Math"/>
              </w:rPr>
              <m:t>k,t,j</m:t>
            </m:r>
          </m:sub>
        </m:sSub>
        <m:r>
          <m:rPr>
            <m:sty m:val="p"/>
          </m:rPr>
          <w:rPr>
            <w:rFonts w:ascii="Cambria Math"/>
          </w:rPr>
          <m:t>=</m:t>
        </m:r>
        <m:sSub>
          <m:sSubPr>
            <m:ctrlPr>
              <w:rPr>
                <w:rFonts w:ascii="Cambria Math" w:hAnsi="Cambria Math"/>
              </w:rPr>
            </m:ctrlPr>
          </m:sSubPr>
          <m:e>
            <m:r>
              <m:rPr>
                <m:sty m:val="p"/>
              </m:rPr>
              <w:rPr>
                <w:rFonts w:ascii="Cambria Math"/>
              </w:rPr>
              <m:t>α</m:t>
            </m:r>
          </m:e>
          <m:sub>
            <m:r>
              <m:rPr>
                <m:sty m:val="p"/>
              </m:rPr>
              <w:rPr>
                <w:rFonts w:ascii="Cambria Math"/>
              </w:rPr>
              <m:t>0,k,j</m:t>
            </m:r>
          </m:sub>
        </m:sSub>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k,j</m:t>
            </m:r>
          </m:sub>
        </m:sSub>
        <m:d>
          <m:dPr>
            <m:ctrlPr>
              <w:rPr>
                <w:rFonts w:ascii="Cambria Math" w:hAnsi="Cambria Math"/>
              </w:rPr>
            </m:ctrlPr>
          </m:dPr>
          <m:e>
            <m:r>
              <m:rPr>
                <m:sty m:val="p"/>
              </m:rPr>
              <w:rPr>
                <w:rFonts w:ascii="Cambria Math"/>
              </w:rPr>
              <m:t>L</m:t>
            </m:r>
          </m:e>
        </m:d>
        <m:r>
          <m:rPr>
            <m:sty m:val="p"/>
          </m:rPr>
          <w:rPr>
            <w:rFonts w:ascii="Cambria Math"/>
          </w:rPr>
          <m:t> </m:t>
        </m:r>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θ</m:t>
            </m:r>
          </m:e>
          <m:sub>
            <m:r>
              <m:rPr>
                <m:sty m:val="p"/>
              </m:rPr>
              <w:rPr>
                <w:rFonts w:ascii="Cambria Math"/>
              </w:rPr>
              <m:t>k,t,j</m:t>
            </m:r>
          </m:sub>
        </m:sSub>
      </m:oMath>
      <w:r w:rsidR="00D35F5E">
        <w:t xml:space="preserve">                                    (11)</w:t>
      </w:r>
    </w:p>
    <w:p w:rsidR="00A44840" w:rsidRDefault="00A44840">
      <w:pPr>
        <w:pStyle w:val="a8"/>
      </w:pPr>
    </w:p>
    <w:p w:rsidR="00A44840" w:rsidRDefault="00D35F5E">
      <w:pPr>
        <w:pStyle w:val="ae"/>
      </w:pPr>
      <w:r>
        <w:t xml:space="preserve">Here, </w:t>
      </w:r>
      <m:oMath>
        <m:sSub>
          <m:sSubPr>
            <m:ctrlPr>
              <w:rPr>
                <w:rFonts w:ascii="Cambria Math" w:hAnsi="Cambria Math"/>
              </w:rPr>
            </m:ctrlPr>
          </m:sSubPr>
          <m:e>
            <m:r>
              <m:rPr>
                <m:sty m:val="p"/>
              </m:rPr>
              <w:rPr>
                <w:rFonts w:ascii="Cambria Math"/>
              </w:rPr>
              <m:t>φ</m:t>
            </m:r>
          </m:e>
          <m:sub>
            <m:r>
              <m:rPr>
                <m:sty m:val="p"/>
              </m:rPr>
              <w:rPr>
                <w:rFonts w:ascii="Cambria Math"/>
              </w:rPr>
              <m:t>k,j</m:t>
            </m:r>
            <m:d>
              <m:dPr>
                <m:ctrlPr>
                  <w:rPr>
                    <w:rFonts w:ascii="Cambria Math" w:hAnsi="Cambria Math"/>
                  </w:rPr>
                </m:ctrlPr>
              </m:dPr>
              <m:e>
                <m:r>
                  <m:rPr>
                    <m:sty m:val="p"/>
                  </m:rPr>
                  <w:rPr>
                    <w:rFonts w:ascii="Cambria Math"/>
                  </w:rPr>
                  <m:t>L</m:t>
                </m:r>
              </m:e>
            </m:d>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1,k,j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r>
          <m:rPr>
            <m:sty m:val="p"/>
          </m:rPr>
          <w:rPr>
            <w:rFonts w:ascii="Cambria Math"/>
          </w:rPr>
          <m:t>⋯</m:t>
        </m:r>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p,k,j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p</m:t>
            </m:r>
          </m:sub>
        </m:sSub>
      </m:oMath>
      <w:r>
        <w:t xml:space="preserve"> and  </w:t>
      </w:r>
      <m:oMath>
        <m:sSub>
          <m:sSubPr>
            <m:ctrlPr>
              <w:rPr>
                <w:rFonts w:ascii="Cambria Math" w:hAnsi="Cambria Math"/>
              </w:rPr>
            </m:ctrlPr>
          </m:sSubPr>
          <m:e>
            <m:r>
              <m:rPr>
                <m:sty m:val="p"/>
              </m:rPr>
              <w:rPr>
                <w:rFonts w:ascii="Cambria Math"/>
              </w:rPr>
              <m:t>θ</m:t>
            </m:r>
          </m:e>
          <m:sub>
            <m:r>
              <m:rPr>
                <m:sty m:val="p"/>
              </m:rPr>
              <w:rPr>
                <w:rFonts w:ascii="Cambria Math"/>
              </w:rPr>
              <m:t>k,t,j</m:t>
            </m:r>
          </m:sub>
        </m:sSub>
      </m:oMath>
      <w:r>
        <w:t xml:space="preserve"> is </w:t>
      </w:r>
      <w:r w:rsidR="007A5225">
        <w:rPr>
          <w:rFonts w:hint="eastAsia"/>
        </w:rPr>
        <w:t>the</w:t>
      </w:r>
      <w:r w:rsidR="007A5225">
        <w:t xml:space="preserve"> </w:t>
      </w:r>
      <w:r>
        <w:t xml:space="preserve">error term. </w:t>
      </w:r>
      <w:r w:rsidR="007A5225">
        <w:rPr>
          <w:rFonts w:hint="eastAsia"/>
        </w:rPr>
        <w:t xml:space="preserve">Also, </w:t>
      </w:r>
      <w:r>
        <w:t>k denotes spot or futures</w:t>
      </w:r>
      <w:r w:rsidR="009F3631">
        <w:rPr>
          <w:rFonts w:hint="eastAsia"/>
        </w:rPr>
        <w:t>;</w:t>
      </w:r>
      <w:r>
        <w:t xml:space="preserve"> for the spot</w:t>
      </w:r>
      <w:r w:rsidR="009F3631">
        <w:rPr>
          <w:rFonts w:hint="eastAsia"/>
        </w:rPr>
        <w:t>,</w:t>
      </w:r>
      <w:r>
        <w:t xml:space="preserve"> </w:t>
      </w:r>
      <w:r w:rsidR="009F3631">
        <w:t xml:space="preserve">j </w:t>
      </w:r>
      <w:r>
        <w:t>is 15:00</w:t>
      </w:r>
      <w:r w:rsidR="009F3631">
        <w:rPr>
          <w:rFonts w:hint="eastAsia"/>
        </w:rPr>
        <w:t>,</w:t>
      </w:r>
      <w:r>
        <w:t xml:space="preserve"> and for futures</w:t>
      </w:r>
      <w:r w:rsidR="009F3631">
        <w:rPr>
          <w:rFonts w:hint="eastAsia"/>
        </w:rPr>
        <w:t>,</w:t>
      </w:r>
      <w:r w:rsidR="009F3631" w:rsidRPr="009F3631">
        <w:t xml:space="preserve"> </w:t>
      </w:r>
      <w:r w:rsidR="009F3631">
        <w:t>j</w:t>
      </w:r>
      <w:r>
        <w:t xml:space="preserve"> is 15:15.</w:t>
      </w:r>
    </w:p>
    <w:p w:rsidR="00A44840" w:rsidRDefault="004E4790">
      <w:r>
        <w:rPr>
          <w:noProof/>
        </w:rPr>
      </w:r>
      <w:r w:rsidR="003D65C8">
        <w:rPr>
          <w:noProof/>
        </w:rPr>
        <w:pict>
          <v:rect id="_x0000_s1113037360" o:spid="_x0000_s1032"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BHutQIAAK0FAAAOAAAAZHJzL2Uyb0RvYy54bWysVF1vmzAUfZ+0/2D5nYITQgCVVF0I06Ru&#10;q9TtuXLABGtgI9sN6ab9912bkCbdy7SNB3RtX9+Pc47v9c2ha9GeKc2lyDC5CjBiopQVF7sMf/1S&#10;eDFG2lBR0VYKluFnpvHN6u2b66FP2Uw2sq2YQhBE6HToM9wY06e+r8uGdVRfyZ4JOKyl6qiBpdr5&#10;laIDRO9afxYEkT9IVfVKlkxr2M3HQ7xy8eualeZzXWtmUJthqM24v3L/rf37q2ua7hTtG14ey6B/&#10;UUVHuYCkp1A5NRQ9Kf5bqI6XSmpZm6tSdr6sa14y1wN0Q4JX3Tw0tGeuFwBH9yeY9P8LW37a3yvE&#10;K+AuxEjQDjh6PATwPWpCyDyYL+eRg2nodQreD/29so3q/k6W3zQSct1QsWO3SsmhYbSC4oiF1b+4&#10;YBcarqLt8FFWkIQ+GekQO9SqswEBC3RwxDyfiGEHg0rYjMgsWEYLjEo4W5JFFC5cCppOt3ulzXsm&#10;O2SNDCsg3kWn+zttbDU0nVxsMiEL3raO/FZcbIDjuAO54ao9s1U4Ln8kQbKJN3HohbNo44VBnnu3&#10;xTr0ooIsF/k8X69z8tPmJWHa8KpiwqaZdEXCP+PtqPBRESdladnyyoazJWm1265bhfYUdF247wjI&#10;mZt/WYYDAXp51RKZhcG7WeIVUbz0wiJceMkyiL2AJO+SKAiTMC8uW7rjgv17S2jIcLKYLRxLZ0W/&#10;6s0qMXD6A2Iu3DpuYHK0vMtwfHKiqZXgRlSOWkN5O9pnUNjyX6CAqBPRTrBWo3Z46NQctgf3MGKL&#10;rN3ZyuoZFKwkCAxmCUw9MBqpvmM0wATJsIARh1H7QcAbsMNmMtRkbCeDihIuZthgNJprMw6lp17x&#10;XQNxyQhMfwvvpOBOwi81HF8XzATXyXF+2aFzvnZeL1N29QsAAP//AwBQSwMEFAAGAAgAAAAhAC8G&#10;4wHWAAAABQEAAA8AAABkcnMvZG93bnJldi54bWxMj81qwzAQhO+FvIPYQm+N1BxKcC2HUgikpZc4&#10;fQDFWv9QaddISuy8fZRSaC/LDrPMflNuZu/EGUMcmDQ8LRUIpIbtQJ2Gr8P2cQ0iJkPWOCbUcMEI&#10;m2pxV5rC8kR7PNepEzmEYmE09CmNhZSx6dGbuOQRKXstB29SlqGTNpgph3snV0o9S28Gyh96M+Jb&#10;j813ffIa5KHeTuvaBcUfq/bTve/2LbLWD/fz6wuIhHP6O4YbfkaHKjMd+UQ2CqchF0k/8+YpleXx&#10;d5FVKf/TV1cAAAD//wMAUEsBAi0AFAAGAAgAAAAhALaDOJL+AAAA4QEAABMAAAAAAAAAAAAAAAAA&#10;AAAAAFtDb250ZW50X1R5cGVzXS54bWxQSwECLQAUAAYACAAAACEAOP0h/9YAAACUAQAACwAAAAAA&#10;AAAAAAAAAAAvAQAAX3JlbHMvLnJlbHNQSwECLQAUAAYACAAAACEA54AR7rUCAACtBQAADgAAAAAA&#10;AAAAAAAAAAAuAgAAZHJzL2Uyb0RvYy54bWxQSwECLQAUAAYACAAAACEALwbjAdYAAAAFAQAADwAA&#10;AAAAAAAAAAAAAAAPBQAAZHJzL2Rvd25yZXYueG1sUEsFBgAAAAAEAAQA8wAAABIGAAAAAA==&#10;" filled="f" stroked="f">
            <v:textbox style="mso-fit-shape-to-text:t" inset="0,0,0,0">
              <w:txbxContent>
                <w:p w:rsidR="006B03CF" w:rsidRDefault="006B03CF">
                  <w:pPr>
                    <w:pStyle w:val="af1"/>
                  </w:pPr>
                  <w:r>
                    <w:t xml:space="preserve">&lt;Table </w:t>
                  </w:r>
                  <w:r>
                    <w:fldChar w:fldCharType="begin"/>
                  </w:r>
                  <w:r>
                    <w:instrText>SEQ 표\* ARABIC\r 3</w:instrText>
                  </w:r>
                  <w:r>
                    <w:fldChar w:fldCharType="separate"/>
                  </w:r>
                  <w:r>
                    <w:rPr>
                      <w:noProof/>
                    </w:rPr>
                    <w:t>3</w:t>
                  </w:r>
                  <w:r>
                    <w:rPr>
                      <w:noProof/>
                    </w:rPr>
                    <w:fldChar w:fldCharType="end"/>
                  </w:r>
                  <w:r>
                    <w:t>&gt; Estimates of equation (11)</w:t>
                  </w:r>
                </w:p>
                <w:p w:rsidR="006B03CF" w:rsidRDefault="006B03CF">
                  <w:pPr>
                    <w:pStyle w:val="af"/>
                  </w:pPr>
                  <w:r>
                    <w:t>The estimates are from equation</w:t>
                  </w:r>
                  <w:r>
                    <w:rPr>
                      <w:rFonts w:hint="eastAsia"/>
                    </w:rPr>
                    <w:t xml:space="preserve"> </w:t>
                  </w:r>
                  <w:r>
                    <w:t>(10)</w:t>
                  </w:r>
                  <w:proofErr w:type="gramStart"/>
                  <w:r>
                    <w:t>:</w:t>
                  </w:r>
                  <m:oMath>
                    <m:sSub>
                      <m:sSubPr>
                        <m:ctrlPr>
                          <w:rPr>
                            <w:rFonts w:ascii="Cambria Math" w:hAnsi="Cambria Math"/>
                          </w:rPr>
                        </m:ctrlPr>
                      </m:sSubPr>
                      <m:e>
                        <m:r>
                          <m:rPr>
                            <m:sty m:val="p"/>
                          </m:rPr>
                          <w:rPr>
                            <w:rFonts w:ascii="Cambria Math"/>
                          </w:rPr>
                          <m:t>r</m:t>
                        </m:r>
                      </m:e>
                      <m:sub>
                        <m:r>
                          <m:rPr>
                            <m:sty m:val="p"/>
                          </m:rPr>
                          <w:rPr>
                            <w:rFonts w:ascii="Cambria Math"/>
                          </w:rPr>
                          <m:t>k,t,j</m:t>
                        </m:r>
                      </m:sub>
                    </m:sSub>
                    <m:r>
                      <m:rPr>
                        <m:sty m:val="p"/>
                      </m:rPr>
                      <w:rPr>
                        <w:rFonts w:ascii="Cambria Math"/>
                      </w:rPr>
                      <m:t>=</m:t>
                    </m:r>
                    <m:sSub>
                      <m:sSubPr>
                        <m:ctrlPr>
                          <w:rPr>
                            <w:rFonts w:ascii="Cambria Math" w:hAnsi="Cambria Math"/>
                          </w:rPr>
                        </m:ctrlPr>
                      </m:sSubPr>
                      <m:e>
                        <m:r>
                          <m:rPr>
                            <m:sty m:val="p"/>
                          </m:rPr>
                          <w:rPr>
                            <w:rFonts w:ascii="Cambria Math"/>
                          </w:rPr>
                          <m:t>α</m:t>
                        </m:r>
                      </m:e>
                      <m:sub>
                        <m:r>
                          <m:rPr>
                            <m:sty m:val="p"/>
                          </m:rPr>
                          <w:rPr>
                            <w:rFonts w:ascii="Cambria Math"/>
                          </w:rPr>
                          <m:t>0,k,j</m:t>
                        </m:r>
                      </m:sub>
                    </m:sSub>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k,j</m:t>
                        </m:r>
                      </m:sub>
                    </m:sSub>
                    <m:d>
                      <m:dPr>
                        <m:ctrlPr>
                          <w:rPr>
                            <w:rFonts w:ascii="Cambria Math" w:hAnsi="Cambria Math"/>
                          </w:rPr>
                        </m:ctrlPr>
                      </m:dPr>
                      <m:e>
                        <m:r>
                          <m:rPr>
                            <m:sty m:val="p"/>
                          </m:rPr>
                          <w:rPr>
                            <w:rFonts w:ascii="Cambria Math"/>
                          </w:rPr>
                          <m:t>L</m:t>
                        </m:r>
                      </m:e>
                    </m:d>
                    <m:r>
                      <m:rPr>
                        <m:sty m:val="p"/>
                      </m:rPr>
                      <w:rPr>
                        <w:rFonts w:ascii="Cambria Math"/>
                      </w:rPr>
                      <m:t> </m:t>
                    </m:r>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θ</m:t>
                        </m:r>
                      </m:e>
                      <m:sub>
                        <m:r>
                          <m:rPr>
                            <m:sty m:val="p"/>
                          </m:rPr>
                          <w:rPr>
                            <w:rFonts w:ascii="Cambria Math"/>
                          </w:rPr>
                          <m:t>k,t,j</m:t>
                        </m:r>
                      </m:sub>
                    </m:sSub>
                  </m:oMath>
                  <w:r>
                    <w:rPr>
                      <w:rFonts w:hint="eastAsia"/>
                    </w:rPr>
                    <w:t>,</w:t>
                  </w:r>
                  <w:proofErr w:type="gramEnd"/>
                  <w:r>
                    <w:rPr>
                      <w:rFonts w:hint="eastAsia"/>
                    </w:rPr>
                    <w:t xml:space="preserve"> </w:t>
                  </w:r>
                  <w:r>
                    <w:t xml:space="preserve">where  </w:t>
                  </w:r>
                  <m:oMath>
                    <m:sSub>
                      <m:sSubPr>
                        <m:ctrlPr>
                          <w:rPr>
                            <w:rFonts w:ascii="Cambria Math" w:hAnsi="Cambria Math"/>
                          </w:rPr>
                        </m:ctrlPr>
                      </m:sSubPr>
                      <m:e>
                        <m:r>
                          <m:rPr>
                            <m:sty m:val="p"/>
                          </m:rPr>
                          <w:rPr>
                            <w:rFonts w:ascii="Cambria Math"/>
                          </w:rPr>
                          <m:t>φ</m:t>
                        </m:r>
                      </m:e>
                      <m:sub>
                        <m:r>
                          <m:rPr>
                            <m:sty m:val="p"/>
                          </m:rPr>
                          <w:rPr>
                            <w:rFonts w:ascii="Cambria Math"/>
                          </w:rPr>
                          <m:t>k,j</m:t>
                        </m:r>
                        <m:d>
                          <m:dPr>
                            <m:ctrlPr>
                              <w:rPr>
                                <w:rFonts w:ascii="Cambria Math" w:hAnsi="Cambria Math"/>
                              </w:rPr>
                            </m:ctrlPr>
                          </m:dPr>
                          <m:e>
                            <m:r>
                              <m:rPr>
                                <m:sty m:val="p"/>
                              </m:rPr>
                              <w:rPr>
                                <w:rFonts w:ascii="Cambria Math"/>
                              </w:rPr>
                              <m:t>L</m:t>
                            </m:r>
                          </m:e>
                        </m:d>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1,k,j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r>
                      <m:rPr>
                        <m:sty m:val="p"/>
                      </m:rPr>
                      <w:rPr>
                        <w:rFonts w:ascii="Cambria Math"/>
                      </w:rPr>
                      <m:t>⋯</m:t>
                    </m:r>
                    <m:r>
                      <m:rPr>
                        <m:sty m:val="p"/>
                      </m:rPr>
                      <w:rPr>
                        <w:rFonts w:ascii="Cambria Math"/>
                      </w:rPr>
                      <m:t>+</m:t>
                    </m:r>
                    <m:sSub>
                      <m:sSubPr>
                        <m:ctrlPr>
                          <w:rPr>
                            <w:rFonts w:ascii="Cambria Math" w:hAnsi="Cambria Math"/>
                          </w:rPr>
                        </m:ctrlPr>
                      </m:sSubPr>
                      <m:e>
                        <m:r>
                          <m:rPr>
                            <m:sty m:val="p"/>
                          </m:rPr>
                          <w:rPr>
                            <w:rFonts w:ascii="Cambria Math"/>
                          </w:rPr>
                          <m:t>φ</m:t>
                        </m:r>
                      </m:e>
                      <m:sub>
                        <m:r>
                          <m:rPr>
                            <m:sty m:val="p"/>
                          </m:rPr>
                          <w:rPr>
                            <w:rFonts w:ascii="Cambria Math"/>
                          </w:rPr>
                          <m:t>p,k,j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p</m:t>
                        </m:r>
                      </m:sub>
                    </m:sSub>
                  </m:oMath>
                  <w:r>
                    <w:t xml:space="preserve"> holds.</w:t>
                  </w:r>
                  <w:r>
                    <w:rPr>
                      <w:rFonts w:hint="eastAsia"/>
                    </w:rPr>
                    <w:t xml:space="preserve"> Here,</w:t>
                  </w:r>
                  <w:r>
                    <w:t xml:space="preserve"> p is 5. The dependent variables are cash at 15:00 and futures at 15:15. * denotes </w:t>
                  </w:r>
                  <w:r>
                    <w:rPr>
                      <w:rFonts w:hint="eastAsia"/>
                    </w:rPr>
                    <w:t xml:space="preserve">the </w:t>
                  </w:r>
                  <w:r>
                    <w:t>5% significance level</w:t>
                  </w:r>
                  <w:r>
                    <w:rPr>
                      <w:rFonts w:hint="eastAsia"/>
                    </w:rPr>
                    <w:t xml:space="preserve"> and</w:t>
                  </w:r>
                  <w:r>
                    <w:t xml:space="preserve"> ** denotes</w:t>
                  </w:r>
                  <w:r>
                    <w:rPr>
                      <w:rFonts w:hint="eastAsia"/>
                    </w:rPr>
                    <w:t xml:space="preserve"> the</w:t>
                  </w:r>
                  <w:r>
                    <w:t xml:space="preserve"> 1% significance level.  </w:t>
                  </w: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1020"/>
        <w:gridCol w:w="1209"/>
        <w:gridCol w:w="1417"/>
        <w:gridCol w:w="1134"/>
        <w:gridCol w:w="1418"/>
        <w:gridCol w:w="1134"/>
        <w:gridCol w:w="1701"/>
      </w:tblGrid>
      <w:tr w:rsidR="00A44840" w:rsidTr="00172D02">
        <w:trPr>
          <w:trHeight w:val="340"/>
        </w:trPr>
        <w:tc>
          <w:tcPr>
            <w:tcW w:w="1020" w:type="dxa"/>
            <w:tcBorders>
              <w:top w:val="single" w:sz="3" w:space="0" w:color="000000"/>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 xml:space="preserve">　</w:t>
            </w:r>
          </w:p>
        </w:tc>
        <w:tc>
          <w:tcPr>
            <w:tcW w:w="2626" w:type="dxa"/>
            <w:gridSpan w:val="2"/>
            <w:tcBorders>
              <w:top w:val="single" w:sz="3" w:space="0" w:color="000000"/>
              <w:left w:val="nil"/>
              <w:bottom w:val="nil"/>
              <w:right w:val="single" w:sz="3" w:space="0" w:color="000000"/>
              <w:tl2br w:val="nil"/>
              <w:tr2bl w:val="nil"/>
            </w:tcBorders>
            <w:tcMar>
              <w:right w:w="56" w:type="dxa"/>
            </w:tcMar>
            <w:vAlign w:val="center"/>
          </w:tcPr>
          <w:p w:rsidR="00A44840" w:rsidRDefault="003230B7">
            <w:pPr>
              <w:pStyle w:val="af0"/>
              <w:rPr>
                <w:sz w:val="20"/>
                <w:szCs w:val="20"/>
              </w:rPr>
            </w:pPr>
            <w:r>
              <w:rPr>
                <w:rFonts w:hint="eastAsia"/>
                <w:sz w:val="20"/>
                <w:szCs w:val="20"/>
              </w:rPr>
              <w:t xml:space="preserve">Entire </w:t>
            </w:r>
            <w:r w:rsidR="00D35F5E">
              <w:rPr>
                <w:sz w:val="20"/>
                <w:szCs w:val="20"/>
              </w:rPr>
              <w:t xml:space="preserve">period　</w:t>
            </w:r>
          </w:p>
        </w:tc>
        <w:tc>
          <w:tcPr>
            <w:tcW w:w="2552" w:type="dxa"/>
            <w:gridSpan w:val="2"/>
            <w:tcBorders>
              <w:top w:val="single" w:sz="3" w:space="0" w:color="000000"/>
              <w:left w:val="nil"/>
              <w:bottom w:val="nil"/>
              <w:right w:val="single" w:sz="3" w:space="0" w:color="000000"/>
              <w:tl2br w:val="nil"/>
              <w:tr2bl w:val="nil"/>
            </w:tcBorders>
            <w:tcMar>
              <w:right w:w="56" w:type="dxa"/>
            </w:tcMar>
            <w:vAlign w:val="center"/>
          </w:tcPr>
          <w:p w:rsidR="00A44840" w:rsidRDefault="00CB6A44">
            <w:pPr>
              <w:pStyle w:val="af0"/>
              <w:rPr>
                <w:sz w:val="20"/>
                <w:szCs w:val="20"/>
              </w:rPr>
            </w:pPr>
            <w:r>
              <w:rPr>
                <w:rFonts w:hint="eastAsia"/>
                <w:sz w:val="20"/>
                <w:szCs w:val="20"/>
              </w:rPr>
              <w:t>Pre-</w:t>
            </w:r>
            <w:r w:rsidR="00D35F5E">
              <w:rPr>
                <w:sz w:val="20"/>
                <w:szCs w:val="20"/>
              </w:rPr>
              <w:t xml:space="preserve">crisis　</w:t>
            </w:r>
          </w:p>
        </w:tc>
        <w:tc>
          <w:tcPr>
            <w:tcW w:w="2835" w:type="dxa"/>
            <w:gridSpan w:val="2"/>
            <w:tcBorders>
              <w:top w:val="single" w:sz="3" w:space="0" w:color="000000"/>
              <w:left w:val="nil"/>
              <w:bottom w:val="nil"/>
              <w:right w:val="nil"/>
              <w:tl2br w:val="nil"/>
              <w:tr2bl w:val="nil"/>
            </w:tcBorders>
            <w:tcMar>
              <w:right w:w="56" w:type="dxa"/>
            </w:tcMar>
            <w:vAlign w:val="center"/>
          </w:tcPr>
          <w:p w:rsidR="00A44840" w:rsidRDefault="00CB6A44">
            <w:pPr>
              <w:pStyle w:val="af0"/>
              <w:rPr>
                <w:sz w:val="20"/>
                <w:szCs w:val="20"/>
              </w:rPr>
            </w:pPr>
            <w:r>
              <w:rPr>
                <w:rFonts w:hint="eastAsia"/>
                <w:sz w:val="20"/>
                <w:szCs w:val="20"/>
              </w:rPr>
              <w:t>Post-</w:t>
            </w:r>
            <w:r w:rsidR="00D35F5E">
              <w:rPr>
                <w:sz w:val="20"/>
                <w:szCs w:val="20"/>
              </w:rPr>
              <w:t xml:space="preserve">crisis　</w:t>
            </w:r>
          </w:p>
        </w:tc>
      </w:tr>
      <w:tr w:rsidR="00A44840" w:rsidTr="00172D02">
        <w:trPr>
          <w:trHeight w:val="340"/>
        </w:trPr>
        <w:tc>
          <w:tcPr>
            <w:tcW w:w="102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rPr>
                <w:sz w:val="20"/>
                <w:szCs w:val="20"/>
              </w:rPr>
            </w:pPr>
            <w:r>
              <w:rPr>
                <w:sz w:val="20"/>
                <w:szCs w:val="20"/>
              </w:rPr>
              <w:t>spot</w:t>
            </w:r>
          </w:p>
        </w:tc>
        <w:tc>
          <w:tcPr>
            <w:tcW w:w="1209"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417" w:type="dxa"/>
            <w:tcBorders>
              <w:top w:val="single" w:sz="3" w:space="0" w:color="000000"/>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418" w:type="dxa"/>
            <w:tcBorders>
              <w:top w:val="single" w:sz="3" w:space="0" w:color="000000"/>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701" w:type="dxa"/>
            <w:tcBorders>
              <w:top w:val="single" w:sz="3" w:space="0" w:color="000000"/>
              <w:left w:val="nil"/>
              <w:bottom w:val="single" w:sz="3" w:space="0" w:color="000000"/>
              <w:right w:val="nil"/>
              <w:tl2br w:val="nil"/>
              <w:tr2bl w:val="nil"/>
            </w:tcBorders>
            <w:tcMar>
              <w:left w:w="56" w:type="dxa"/>
            </w:tcMar>
            <w:vAlign w:val="center"/>
          </w:tcPr>
          <w:p w:rsidR="00A44840" w:rsidRDefault="00D35F5E">
            <w:pPr>
              <w:pStyle w:val="af0"/>
              <w:jc w:val="left"/>
              <w:rPr>
                <w:sz w:val="20"/>
                <w:szCs w:val="20"/>
              </w:rPr>
            </w:pPr>
            <w:r>
              <w:rPr>
                <w:sz w:val="20"/>
                <w:szCs w:val="20"/>
              </w:rPr>
              <w:t>(t-value)</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α</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0,S,15:00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0.0408</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(1.40)</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0.0652</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(1.67)</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0.0074</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(0.17)</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1,S,15:00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0.4739</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(22.09**)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0.5201</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(14.04**)</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0.4518</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(17.28**)</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2,S,15:00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0.1078</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(5.01**)</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0.0757</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(2.04*)</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0.1189</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(4.52**)</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3,S,15:00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0.0712</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(3.30**)</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0.1025</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(2.77**)</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0.0496</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(1.88)</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4,S,15:00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0.0049</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(0.23)</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0.0917</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(2.49*)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-0.0416</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(-1.58)</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5,S,15:00</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-0.0018</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(-0.09)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0.0246</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(0.67)</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-0.0219</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(-0.84)</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0"/>
                    <w:szCs w:val="20"/>
                  </w:rPr>
                  <m:t>〖</m:t>
                </m:r>
                <m:r>
                  <m:rPr>
                    <m:sty m:val="p"/>
                  </m:rPr>
                  <w:rPr>
                    <w:rFonts w:ascii="Cambria Math"/>
                    <w:sz w:val="20"/>
                    <w:szCs w:val="20"/>
                  </w:rPr>
                  <m:t>¯</m:t>
                </m:r>
                <m:r>
                  <m:rPr>
                    <m:sty m:val="p"/>
                  </m:rPr>
                  <w:rPr>
                    <w:rFonts w:ascii="Cambria Math"/>
                    <w:sz w:val="20"/>
                    <w:szCs w:val="20"/>
                  </w:rPr>
                  <m:t>R</m:t>
                </m:r>
                <m:r>
                  <m:rPr>
                    <m:sty m:val="p"/>
                  </m:rPr>
                  <w:rPr>
                    <w:rFonts w:ascii="Cambria Math"/>
                    <w:sz w:val="20"/>
                    <w:szCs w:val="20"/>
                  </w:rPr>
                  <m:t>〗</m:t>
                </m:r>
                <m:r>
                  <m:rPr>
                    <m:sty m:val="p"/>
                  </m:rPr>
                  <w:rPr>
                    <w:rFonts w:ascii="Cambria Math"/>
                    <w:sz w:val="20"/>
                    <w:szCs w:val="20"/>
                  </w:rPr>
                  <m:t xml:space="preserve">^2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0.1468</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0.1128</w:t>
            </w:r>
          </w:p>
        </w:tc>
        <w:tc>
          <w:tcPr>
            <w:tcW w:w="1418" w:type="dxa"/>
            <w:tcBorders>
              <w:top w:val="nil"/>
              <w:left w:val="nil"/>
              <w:bottom w:val="nil"/>
              <w:right w:val="single" w:sz="3" w:space="0" w:color="000000"/>
              <w:tl2br w:val="nil"/>
              <w:tr2bl w:val="nil"/>
            </w:tcBorders>
            <w:tcMar>
              <w:left w:w="56" w:type="dxa"/>
            </w:tcMar>
            <w:vAlign w:val="center"/>
          </w:tcPr>
          <w:p w:rsidR="00A44840" w:rsidRDefault="00A44840">
            <w:pPr>
              <w:pStyle w:val="af0"/>
              <w:jc w:val="left"/>
              <w:rPr>
                <w:sz w:val="20"/>
                <w:szCs w:val="20"/>
              </w:rPr>
            </w:pP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0.1940</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F</w:t>
            </w:r>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100.31**</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42.26**</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61.69**</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102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rPr>
                <w:sz w:val="20"/>
                <w:szCs w:val="20"/>
              </w:rPr>
            </w:pPr>
            <w:r>
              <w:rPr>
                <w:sz w:val="20"/>
                <w:szCs w:val="20"/>
              </w:rPr>
              <w:t>futures</w:t>
            </w:r>
          </w:p>
        </w:tc>
        <w:tc>
          <w:tcPr>
            <w:tcW w:w="1209"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417" w:type="dxa"/>
            <w:tcBorders>
              <w:top w:val="single" w:sz="3" w:space="0" w:color="000000"/>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418" w:type="dxa"/>
            <w:tcBorders>
              <w:top w:val="single" w:sz="3" w:space="0" w:color="000000"/>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(t-value)</w:t>
            </w:r>
          </w:p>
        </w:tc>
        <w:tc>
          <w:tcPr>
            <w:tcW w:w="1134" w:type="dxa"/>
            <w:tcBorders>
              <w:top w:val="single" w:sz="3" w:space="0" w:color="000000"/>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estimates</w:t>
            </w:r>
          </w:p>
        </w:tc>
        <w:tc>
          <w:tcPr>
            <w:tcW w:w="1701" w:type="dxa"/>
            <w:tcBorders>
              <w:top w:val="single" w:sz="3" w:space="0" w:color="000000"/>
              <w:left w:val="nil"/>
              <w:bottom w:val="single" w:sz="3" w:space="0" w:color="000000"/>
              <w:right w:val="nil"/>
              <w:tl2br w:val="nil"/>
              <w:tr2bl w:val="nil"/>
            </w:tcBorders>
            <w:tcMar>
              <w:left w:w="56" w:type="dxa"/>
            </w:tcMar>
            <w:vAlign w:val="center"/>
          </w:tcPr>
          <w:p w:rsidR="00A44840" w:rsidRDefault="00D35F5E">
            <w:pPr>
              <w:pStyle w:val="af0"/>
              <w:jc w:val="left"/>
              <w:rPr>
                <w:sz w:val="20"/>
                <w:szCs w:val="20"/>
              </w:rPr>
            </w:pPr>
            <w:r>
              <w:rPr>
                <w:sz w:val="20"/>
                <w:szCs w:val="20"/>
              </w:rPr>
              <w:t>(t-value)</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α</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0,F,15:15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0.0500</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(1.27)</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0.0683</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(1.56)</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0.0243</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(0.34)</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1,F,15:15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0.4492</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(15.48**)</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0.5046</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(12.21**)</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0.4218</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(9.96**)</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2,F,15:15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0.0522</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(1.79)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0.0301</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(0.73)</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0.0600</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(1.41)</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3,F,15:15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0.0496</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(1.70)</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0.0616</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(1.49)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0.0370</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(0.87)</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4,F,15:15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-0.0041</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(-0.14)</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0.0679</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(1.66)</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-0.0433</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(-1.02)</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m:oMathPara>
              <m:oMath>
                <m:r>
                  <m:rPr>
                    <m:sty m:val="p"/>
                  </m:rPr>
                  <w:rPr>
                    <w:rFonts w:ascii="Cambria Math"/>
                    <w:sz w:val="22"/>
                    <w:szCs w:val="22"/>
                  </w:rPr>
                  <m:t>φ</m:t>
                </m:r>
                <m:r>
                  <m:rPr>
                    <m:sty m:val="p"/>
                  </m:rPr>
                  <w:rPr>
                    <w:rFonts w:ascii="Cambria Math"/>
                    <w:sz w:val="22"/>
                    <w:szCs w:val="22"/>
                  </w:rPr>
                  <m:t>_</m:t>
                </m:r>
                <m:r>
                  <m:rPr>
                    <m:sty m:val="p"/>
                  </m:rPr>
                  <w:rPr>
                    <w:rFonts w:ascii="Cambria Math"/>
                    <w:sz w:val="22"/>
                    <w:szCs w:val="22"/>
                  </w:rPr>
                  <m:t>〖</m:t>
                </m:r>
                <m:r>
                  <m:rPr>
                    <m:sty m:val="p"/>
                  </m:rPr>
                  <w:rPr>
                    <w:rFonts w:ascii="Cambria Math"/>
                    <w:sz w:val="22"/>
                    <w:szCs w:val="22"/>
                  </w:rPr>
                  <m:t>5,F,15:15</m:t>
                </m:r>
                <m:r>
                  <m:rPr>
                    <m:sty m:val="p"/>
                  </m:rPr>
                  <w:rPr>
                    <w:rFonts w:ascii="Cambria Math"/>
                    <w:sz w:val="22"/>
                    <w:szCs w:val="22"/>
                  </w:rPr>
                  <m:t>〗</m:t>
                </m:r>
                <m:r>
                  <m:rPr>
                    <m:sty m:val="p"/>
                  </m:rPr>
                  <w:rPr>
                    <w:rFonts w:ascii="Cambria Math"/>
                    <w:sz w:val="22"/>
                    <w:szCs w:val="22"/>
                  </w:rPr>
                  <m:t xml:space="preserve"> </m:t>
                </m:r>
              </m:oMath>
            </m:oMathPara>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-0.0259</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(-0.89)</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0.0362</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(0.88)</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-0.0633</w:t>
            </w:r>
          </w:p>
        </w:tc>
        <w:tc>
          <w:tcPr>
            <w:tcW w:w="1701" w:type="dxa"/>
            <w:tcBorders>
              <w:top w:val="nil"/>
              <w:left w:val="nil"/>
              <w:bottom w:val="nil"/>
              <w:right w:val="nil"/>
              <w:tl2br w:val="nil"/>
              <w:tr2bl w:val="nil"/>
            </w:tcBorders>
            <w:tcMar>
              <w:left w:w="56" w:type="dxa"/>
            </w:tcMar>
            <w:vAlign w:val="center"/>
          </w:tcPr>
          <w:p w:rsidR="00A44840" w:rsidRDefault="00D35F5E">
            <w:pPr>
              <w:pStyle w:val="af0"/>
              <w:jc w:val="left"/>
              <w:rPr>
                <w:sz w:val="20"/>
                <w:szCs w:val="20"/>
              </w:rPr>
            </w:pPr>
            <w:r>
              <w:rPr>
                <w:sz w:val="20"/>
                <w:szCs w:val="20"/>
              </w:rPr>
              <w:t>(-1.50)</w:t>
            </w:r>
          </w:p>
        </w:tc>
      </w:tr>
      <w:tr w:rsidR="00A44840" w:rsidTr="00172D02">
        <w:trPr>
          <w:trHeight w:val="340"/>
        </w:trPr>
        <w:tc>
          <w:tcPr>
            <w:tcW w:w="1020" w:type="dxa"/>
            <w:tcBorders>
              <w:top w:val="nil"/>
              <w:left w:val="nil"/>
              <w:bottom w:val="nil"/>
              <w:right w:val="single" w:sz="3" w:space="0" w:color="000000"/>
              <w:tl2br w:val="nil"/>
              <w:tr2bl w:val="nil"/>
            </w:tcBorders>
            <w:vAlign w:val="center"/>
          </w:tcPr>
          <w:p w:rsidR="00A44840" w:rsidRDefault="00D35F5E">
            <w:pPr>
              <w:pStyle w:val="af0"/>
              <w:rPr>
                <w:sz w:val="20"/>
                <w:szCs w:val="20"/>
              </w:rPr>
            </w:pPr>
            <w:r>
              <w:rPr>
                <w:sz w:val="20"/>
                <w:szCs w:val="20"/>
              </w:rPr>
              <w:t>R^2</w:t>
            </w:r>
          </w:p>
        </w:tc>
        <w:tc>
          <w:tcPr>
            <w:tcW w:w="1209"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0.0761</w:t>
            </w:r>
          </w:p>
        </w:tc>
        <w:tc>
          <w:tcPr>
            <w:tcW w:w="1417"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0.0839</w:t>
            </w:r>
          </w:p>
        </w:tc>
        <w:tc>
          <w:tcPr>
            <w:tcW w:w="1418" w:type="dxa"/>
            <w:tcBorders>
              <w:top w:val="nil"/>
              <w:left w:val="nil"/>
              <w:bottom w:val="nil"/>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nil"/>
              <w:right w:val="nil"/>
              <w:tl2br w:val="nil"/>
              <w:tr2bl w:val="nil"/>
            </w:tcBorders>
            <w:tcMar>
              <w:right w:w="56" w:type="dxa"/>
            </w:tcMar>
            <w:vAlign w:val="center"/>
          </w:tcPr>
          <w:p w:rsidR="00A44840" w:rsidRDefault="00D35F5E">
            <w:pPr>
              <w:pStyle w:val="af0"/>
              <w:jc w:val="right"/>
              <w:rPr>
                <w:sz w:val="20"/>
                <w:szCs w:val="20"/>
              </w:rPr>
            </w:pPr>
            <w:r>
              <w:rPr>
                <w:sz w:val="20"/>
                <w:szCs w:val="20"/>
              </w:rPr>
              <w:t>0.0723</w:t>
            </w:r>
          </w:p>
        </w:tc>
        <w:tc>
          <w:tcPr>
            <w:tcW w:w="1701" w:type="dxa"/>
            <w:tcBorders>
              <w:top w:val="nil"/>
              <w:left w:val="nil"/>
              <w:bottom w:val="nil"/>
              <w:right w:val="nil"/>
              <w:tl2br w:val="nil"/>
              <w:tr2bl w:val="nil"/>
            </w:tcBorders>
            <w:tcMar>
              <w:left w:w="56" w:type="dxa"/>
            </w:tcMar>
            <w:vAlign w:val="center"/>
          </w:tcPr>
          <w:p w:rsidR="00A44840" w:rsidRDefault="00A44840">
            <w:pPr>
              <w:pStyle w:val="af0"/>
              <w:jc w:val="left"/>
              <w:rPr>
                <w:sz w:val="20"/>
                <w:szCs w:val="20"/>
              </w:rPr>
            </w:pPr>
          </w:p>
        </w:tc>
      </w:tr>
      <w:tr w:rsidR="00A44840" w:rsidTr="00172D02">
        <w:trPr>
          <w:trHeight w:val="340"/>
        </w:trPr>
        <w:tc>
          <w:tcPr>
            <w:tcW w:w="1020" w:type="dxa"/>
            <w:tcBorders>
              <w:top w:val="nil"/>
              <w:left w:val="nil"/>
              <w:bottom w:val="single" w:sz="3" w:space="0" w:color="000000"/>
              <w:right w:val="nil"/>
              <w:tl2br w:val="nil"/>
              <w:tr2bl w:val="nil"/>
            </w:tcBorders>
            <w:vAlign w:val="center"/>
          </w:tcPr>
          <w:p w:rsidR="00A44840" w:rsidRDefault="00D35F5E">
            <w:pPr>
              <w:pStyle w:val="af0"/>
              <w:rPr>
                <w:sz w:val="20"/>
                <w:szCs w:val="20"/>
              </w:rPr>
            </w:pPr>
            <w:r>
              <w:rPr>
                <w:sz w:val="20"/>
                <w:szCs w:val="20"/>
              </w:rPr>
              <w:t>F</w:t>
            </w:r>
          </w:p>
        </w:tc>
        <w:tc>
          <w:tcPr>
            <w:tcW w:w="1209" w:type="dxa"/>
            <w:tcBorders>
              <w:top w:val="nil"/>
              <w:left w:val="single" w:sz="3" w:space="0" w:color="000000"/>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48.53**</w:t>
            </w:r>
          </w:p>
        </w:tc>
        <w:tc>
          <w:tcPr>
            <w:tcW w:w="1417" w:type="dxa"/>
            <w:tcBorders>
              <w:top w:val="nil"/>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30.72**</w:t>
            </w:r>
          </w:p>
        </w:tc>
        <w:tc>
          <w:tcPr>
            <w:tcW w:w="1418" w:type="dxa"/>
            <w:tcBorders>
              <w:top w:val="nil"/>
              <w:left w:val="nil"/>
              <w:bottom w:val="single" w:sz="3" w:space="0" w:color="000000"/>
              <w:right w:val="single" w:sz="3" w:space="0" w:color="000000"/>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c>
          <w:tcPr>
            <w:tcW w:w="1134" w:type="dxa"/>
            <w:tcBorders>
              <w:top w:val="nil"/>
              <w:left w:val="nil"/>
              <w:bottom w:val="single" w:sz="3" w:space="0" w:color="000000"/>
              <w:right w:val="nil"/>
              <w:tl2br w:val="nil"/>
              <w:tr2bl w:val="nil"/>
            </w:tcBorders>
            <w:tcMar>
              <w:right w:w="56" w:type="dxa"/>
            </w:tcMar>
            <w:vAlign w:val="center"/>
          </w:tcPr>
          <w:p w:rsidR="00A44840" w:rsidRDefault="00D35F5E">
            <w:pPr>
              <w:pStyle w:val="af0"/>
              <w:jc w:val="right"/>
              <w:rPr>
                <w:sz w:val="20"/>
                <w:szCs w:val="20"/>
              </w:rPr>
            </w:pPr>
            <w:r>
              <w:rPr>
                <w:sz w:val="20"/>
                <w:szCs w:val="20"/>
              </w:rPr>
              <w:t>20.66**</w:t>
            </w:r>
          </w:p>
        </w:tc>
        <w:tc>
          <w:tcPr>
            <w:tcW w:w="1701" w:type="dxa"/>
            <w:tcBorders>
              <w:top w:val="nil"/>
              <w:left w:val="nil"/>
              <w:bottom w:val="single" w:sz="3" w:space="0" w:color="000000"/>
              <w:right w:val="nil"/>
              <w:tl2br w:val="nil"/>
              <w:tr2bl w:val="nil"/>
            </w:tcBorders>
            <w:tcMar>
              <w:left w:w="56" w:type="dxa"/>
            </w:tcMar>
            <w:vAlign w:val="center"/>
          </w:tcPr>
          <w:p w:rsidR="00A44840" w:rsidRDefault="00D35F5E">
            <w:pPr>
              <w:pStyle w:val="af0"/>
              <w:jc w:val="left"/>
              <w:rPr>
                <w:sz w:val="20"/>
                <w:szCs w:val="20"/>
              </w:rPr>
            </w:pPr>
            <w:r>
              <w:rPr>
                <w:sz w:val="20"/>
                <w:szCs w:val="20"/>
              </w:rPr>
              <w:t xml:space="preserve">　</w:t>
            </w:r>
          </w:p>
        </w:tc>
      </w:tr>
    </w:tbl>
    <w:p w:rsidR="00A44840" w:rsidRDefault="00A44840">
      <w:pPr>
        <w:rPr>
          <w:sz w:val="2"/>
        </w:rPr>
      </w:pPr>
    </w:p>
    <w:p w:rsidR="00A44840" w:rsidRDefault="00A44840">
      <w:pPr>
        <w:pStyle w:val="af1"/>
      </w:pPr>
    </w:p>
    <w:p w:rsidR="00A44840" w:rsidRDefault="00D35F5E">
      <w:pPr>
        <w:pStyle w:val="a8"/>
      </w:pPr>
      <w:r>
        <w:lastRenderedPageBreak/>
        <w:t xml:space="preserve">&lt;Table 3&gt; </w:t>
      </w:r>
      <w:r w:rsidR="00CB6A44">
        <w:rPr>
          <w:rFonts w:hint="eastAsia"/>
        </w:rPr>
        <w:t>presents</w:t>
      </w:r>
      <w:r w:rsidR="00CB6A44">
        <w:t xml:space="preserve"> </w:t>
      </w:r>
      <w:r>
        <w:t>the estimates for the 5 time lags of the transfer function model for cash and futures returns. For the cash market, the estimates are significantly positive till the 4</w:t>
      </w:r>
      <w:r>
        <w:rPr>
          <w:vertAlign w:val="superscript"/>
        </w:rPr>
        <w:t>th</w:t>
      </w:r>
      <w:r>
        <w:t xml:space="preserve"> lag </w:t>
      </w:r>
      <w:r w:rsidR="00CB6A44">
        <w:rPr>
          <w:rFonts w:hint="eastAsia"/>
        </w:rPr>
        <w:t>pre-</w:t>
      </w:r>
      <w:r>
        <w:t>crisis and are significantly positive till the 2</w:t>
      </w:r>
      <w:r>
        <w:rPr>
          <w:vertAlign w:val="superscript"/>
        </w:rPr>
        <w:t>nd</w:t>
      </w:r>
      <w:r>
        <w:t xml:space="preserve"> lag </w:t>
      </w:r>
      <w:r w:rsidR="00CB6A44">
        <w:rPr>
          <w:rFonts w:hint="eastAsia"/>
        </w:rPr>
        <w:t>post-</w:t>
      </w:r>
      <w:r>
        <w:t>crisis. This implies that, when S&amp;P</w:t>
      </w:r>
      <w:r w:rsidR="00CB6A44">
        <w:rPr>
          <w:rFonts w:hint="eastAsia"/>
        </w:rPr>
        <w:t xml:space="preserve"> </w:t>
      </w:r>
      <w:r>
        <w:t>500 returns are significantly positive on date t-1, the strategy to buy on date t and sell on date t+1 would be profitable. Namely</w:t>
      </w:r>
      <w:r w:rsidR="00CB6A44">
        <w:rPr>
          <w:rFonts w:hint="eastAsia"/>
        </w:rPr>
        <w:t>,</w:t>
      </w:r>
      <w:r>
        <w:t xml:space="preserve"> foreigners</w:t>
      </w:r>
      <w:r>
        <w:t>’</w:t>
      </w:r>
      <w:r>
        <w:t xml:space="preserve"> behaviors are profitable while individuals</w:t>
      </w:r>
      <w:r>
        <w:t>’</w:t>
      </w:r>
      <w:r>
        <w:t xml:space="preserve"> behavior</w:t>
      </w:r>
      <w:r w:rsidR="00CB6A44">
        <w:rPr>
          <w:rFonts w:hint="eastAsia"/>
        </w:rPr>
        <w:t>s</w:t>
      </w:r>
      <w:r>
        <w:t xml:space="preserve"> are not.</w:t>
      </w:r>
      <w:bookmarkStart w:id="8" w:name="f_8257615"/>
      <w:r>
        <w:rPr>
          <w:rStyle w:val="a6"/>
        </w:rPr>
        <w:footnoteReference w:id="14"/>
      </w:r>
      <w:bookmarkEnd w:id="8"/>
      <w:r>
        <w:t xml:space="preserve"> </w:t>
      </w:r>
    </w:p>
    <w:p w:rsidR="00A44840" w:rsidRDefault="00D35F5E">
      <w:pPr>
        <w:pStyle w:val="a8"/>
      </w:pPr>
      <w:r>
        <w:t>However</w:t>
      </w:r>
      <w:r w:rsidR="00027951">
        <w:rPr>
          <w:rFonts w:hint="eastAsia"/>
        </w:rPr>
        <w:t>,</w:t>
      </w:r>
      <w:r>
        <w:t xml:space="preserve"> in the futures market, only the estimate on date t-1 is significant, </w:t>
      </w:r>
      <w:r w:rsidR="00027951">
        <w:rPr>
          <w:rFonts w:hint="eastAsia"/>
        </w:rPr>
        <w:t>whereas</w:t>
      </w:r>
      <w:r w:rsidR="00027951">
        <w:t xml:space="preserve"> </w:t>
      </w:r>
      <w:r>
        <w:t xml:space="preserve">other estimates are not significant, </w:t>
      </w:r>
      <w:r w:rsidR="00027951">
        <w:rPr>
          <w:rFonts w:hint="eastAsia"/>
        </w:rPr>
        <w:t>indicating</w:t>
      </w:r>
      <w:r>
        <w:t xml:space="preserve"> that it is not </w:t>
      </w:r>
      <w:r w:rsidR="00027951">
        <w:rPr>
          <w:rFonts w:hint="eastAsia"/>
        </w:rPr>
        <w:t>a</w:t>
      </w:r>
      <w:r w:rsidR="00027951">
        <w:t xml:space="preserve"> </w:t>
      </w:r>
      <w:r>
        <w:t>desirable strategy to use the U</w:t>
      </w:r>
      <w:r w:rsidR="00027951">
        <w:rPr>
          <w:rFonts w:hint="eastAsia"/>
        </w:rPr>
        <w:t>.</w:t>
      </w:r>
      <w:r>
        <w:t>S</w:t>
      </w:r>
      <w:r w:rsidR="00027951">
        <w:rPr>
          <w:rFonts w:hint="eastAsia"/>
        </w:rPr>
        <w:t>.</w:t>
      </w:r>
      <w:r>
        <w:t xml:space="preserve"> market change news in the futures market. This might explain the less explicit net purchase ratio in the futures market than in the spot market in the lower panel of &lt;Table 2&gt;</w:t>
      </w:r>
    </w:p>
    <w:p w:rsidR="00A44840" w:rsidRDefault="00A44840">
      <w:pPr>
        <w:pStyle w:val="a8"/>
      </w:pPr>
    </w:p>
    <w:p w:rsidR="00A44840" w:rsidRDefault="00D35F5E">
      <w:pPr>
        <w:pStyle w:val="ac"/>
      </w:pPr>
      <w:r>
        <w:t xml:space="preserve">(2)  Intraday trading volume ratio change  </w:t>
      </w:r>
    </w:p>
    <w:p w:rsidR="00A44840" w:rsidRDefault="00D35F5E">
      <w:pPr>
        <w:pStyle w:val="a8"/>
      </w:pPr>
      <w:r>
        <w:t>The higher the U</w:t>
      </w:r>
      <w:r w:rsidR="00B70B45">
        <w:rPr>
          <w:rFonts w:hint="eastAsia"/>
        </w:rPr>
        <w:t>.</w:t>
      </w:r>
      <w:r>
        <w:t>S</w:t>
      </w:r>
      <w:r w:rsidR="00B70B45">
        <w:rPr>
          <w:rFonts w:hint="eastAsia"/>
        </w:rPr>
        <w:t>.</w:t>
      </w:r>
      <w:r>
        <w:t xml:space="preserve"> stock price change, the eager the investors become to use the information. Therefore</w:t>
      </w:r>
      <w:r w:rsidR="00B70B45">
        <w:rPr>
          <w:rFonts w:hint="eastAsia"/>
        </w:rPr>
        <w:t>,</w:t>
      </w:r>
      <w:r>
        <w:t xml:space="preserve"> when the stock price change is great in the U</w:t>
      </w:r>
      <w:r w:rsidR="00B70B45">
        <w:rPr>
          <w:rFonts w:hint="eastAsia"/>
        </w:rPr>
        <w:t>.</w:t>
      </w:r>
      <w:r>
        <w:t>S</w:t>
      </w:r>
      <w:r w:rsidR="00B70B45">
        <w:rPr>
          <w:rFonts w:hint="eastAsia"/>
        </w:rPr>
        <w:t>.</w:t>
      </w:r>
      <w:r>
        <w:t>, the trading of KOSPI</w:t>
      </w:r>
      <w:r w:rsidR="00B70B45">
        <w:rPr>
          <w:rFonts w:hint="eastAsia"/>
        </w:rPr>
        <w:t xml:space="preserve"> </w:t>
      </w:r>
      <w:r>
        <w:t xml:space="preserve">200 spots and futures are expected to be concentrated around 9:00 in the next morning. </w:t>
      </w:r>
    </w:p>
    <w:p w:rsidR="00A44840" w:rsidRDefault="00D35F5E">
      <w:pPr>
        <w:pStyle w:val="a8"/>
      </w:pPr>
      <w:r>
        <w:t>&lt;Appendix E&gt; is the summary of the cash and the futures trading volume ratios in Korea</w:t>
      </w:r>
      <w:r w:rsidR="00B70B45">
        <w:rPr>
          <w:rFonts w:hint="eastAsia"/>
        </w:rPr>
        <w:t>,</w:t>
      </w:r>
      <w:r>
        <w:t xml:space="preserve"> classified according </w:t>
      </w:r>
      <w:r w:rsidR="00B70B45">
        <w:t>to the</w:t>
      </w:r>
      <w:r w:rsidR="00B70B45">
        <w:rPr>
          <w:rFonts w:hint="eastAsia"/>
        </w:rPr>
        <w:t xml:space="preserve"> </w:t>
      </w:r>
      <w:bookmarkStart w:id="9" w:name="_GoBack"/>
      <w:bookmarkEnd w:id="9"/>
      <w:r>
        <w:t>S&amp;P</w:t>
      </w:r>
      <w:r w:rsidR="00B70B45">
        <w:rPr>
          <w:rFonts w:hint="eastAsia"/>
        </w:rPr>
        <w:t xml:space="preserve"> </w:t>
      </w:r>
      <w:r>
        <w:t>500 daily return on date t-1. &lt;Figure 7&gt; shows the trading volume patterns for three categories</w:t>
      </w:r>
      <w:r w:rsidR="00B70B45">
        <w:rPr>
          <w:rFonts w:hint="eastAsia"/>
        </w:rPr>
        <w:t>,</w:t>
      </w:r>
      <w:r>
        <w:t xml:space="preserve"> where S&amp;P</w:t>
      </w:r>
      <w:r w:rsidR="00B70B45">
        <w:rPr>
          <w:rFonts w:hint="eastAsia"/>
        </w:rPr>
        <w:t xml:space="preserve"> </w:t>
      </w:r>
      <w:r>
        <w:t xml:space="preserve">500 daily </w:t>
      </w:r>
      <w:proofErr w:type="gramStart"/>
      <w:r>
        <w:t>return</w:t>
      </w:r>
      <w:proofErr w:type="gramEnd"/>
      <w:r>
        <w:t xml:space="preserve"> on date t-1 </w:t>
      </w:r>
      <w:r w:rsidR="00B70B45">
        <w:rPr>
          <w:rFonts w:hint="eastAsia"/>
        </w:rPr>
        <w:t xml:space="preserve">is </w:t>
      </w:r>
      <w:r>
        <w:t xml:space="preserve">below </w:t>
      </w:r>
      <w:r>
        <w:t>–</w:t>
      </w:r>
      <w:r>
        <w:t>2%, -1%~1% and over +2%.</w:t>
      </w:r>
      <w:r w:rsidR="00B70B45">
        <w:rPr>
          <w:rFonts w:hint="eastAsia"/>
        </w:rPr>
        <w:t xml:space="preserve"> The</w:t>
      </w:r>
      <w:r>
        <w:t xml:space="preserve"> </w:t>
      </w:r>
      <w:r w:rsidR="00B70B45">
        <w:rPr>
          <w:rFonts w:hint="eastAsia"/>
        </w:rPr>
        <w:t>t</w:t>
      </w:r>
      <w:r w:rsidR="00B70B45">
        <w:t xml:space="preserve">rading </w:t>
      </w:r>
      <w:r>
        <w:t xml:space="preserve">volume patterns before and after the crisis is not distinguishable from the </w:t>
      </w:r>
      <w:r w:rsidR="003230B7">
        <w:rPr>
          <w:rFonts w:hint="eastAsia"/>
        </w:rPr>
        <w:t>entire</w:t>
      </w:r>
      <w:r w:rsidR="003230B7">
        <w:t xml:space="preserve"> </w:t>
      </w:r>
      <w:r>
        <w:t xml:space="preserve">period. </w:t>
      </w:r>
    </w:p>
    <w:p w:rsidR="00A44840" w:rsidRDefault="00D35F5E">
      <w:pPr>
        <w:pStyle w:val="a8"/>
      </w:pPr>
      <w:r>
        <w:t>For the cash market, when there are significant changes in the U</w:t>
      </w:r>
      <w:r w:rsidR="00B70B45">
        <w:rPr>
          <w:rFonts w:hint="eastAsia"/>
        </w:rPr>
        <w:t>.</w:t>
      </w:r>
      <w:r>
        <w:t>S</w:t>
      </w:r>
      <w:r w:rsidR="00B70B45">
        <w:rPr>
          <w:rFonts w:hint="eastAsia"/>
        </w:rPr>
        <w:t>.</w:t>
      </w:r>
      <w:r>
        <w:t xml:space="preserve"> market</w:t>
      </w:r>
      <w:r w:rsidR="00B70B45">
        <w:rPr>
          <w:rFonts w:hint="eastAsia"/>
        </w:rPr>
        <w:t xml:space="preserve"> </w:t>
      </w:r>
      <w:r>
        <w:t xml:space="preserve">(below </w:t>
      </w:r>
      <w:r>
        <w:t>–</w:t>
      </w:r>
      <w:r>
        <w:t>2% or above +2%)</w:t>
      </w:r>
      <w:r w:rsidR="00B70B45">
        <w:rPr>
          <w:rFonts w:hint="eastAsia"/>
        </w:rPr>
        <w:t>,</w:t>
      </w:r>
      <w:r>
        <w:t xml:space="preserve"> the trading volume ratio before 9:15 significantly increase</w:t>
      </w:r>
      <w:r w:rsidR="00B70B45">
        <w:rPr>
          <w:rFonts w:hint="eastAsia"/>
        </w:rPr>
        <w:t>s</w:t>
      </w:r>
      <w:r>
        <w:t>. When there is not a significant change in the U</w:t>
      </w:r>
      <w:r w:rsidR="00B70B45">
        <w:rPr>
          <w:rFonts w:hint="eastAsia"/>
        </w:rPr>
        <w:t>.</w:t>
      </w:r>
      <w:r>
        <w:t>S</w:t>
      </w:r>
      <w:r w:rsidR="00B70B45">
        <w:rPr>
          <w:rFonts w:hint="eastAsia"/>
        </w:rPr>
        <w:t>.</w:t>
      </w:r>
      <w:r>
        <w:t xml:space="preserve"> market</w:t>
      </w:r>
      <w:r w:rsidR="00B70B45">
        <w:rPr>
          <w:rFonts w:hint="eastAsia"/>
        </w:rPr>
        <w:t xml:space="preserve"> </w:t>
      </w:r>
      <w:r>
        <w:t>(below</w:t>
      </w:r>
      <w:r>
        <w:t>±</w:t>
      </w:r>
      <w:r>
        <w:t>1%), the trading volume ratio before 9:15 does not change significantly. However</w:t>
      </w:r>
      <w:r w:rsidR="00B70B45">
        <w:rPr>
          <w:rFonts w:hint="eastAsia"/>
        </w:rPr>
        <w:t>,</w:t>
      </w:r>
      <w:r>
        <w:t xml:space="preserve"> in the futures market, the trading volume ratios do not change even when there are significant U</w:t>
      </w:r>
      <w:r w:rsidR="00B70B45">
        <w:rPr>
          <w:rFonts w:hint="eastAsia"/>
        </w:rPr>
        <w:t>.</w:t>
      </w:r>
      <w:r>
        <w:t>S</w:t>
      </w:r>
      <w:r w:rsidR="00B70B45">
        <w:rPr>
          <w:rFonts w:hint="eastAsia"/>
        </w:rPr>
        <w:t>.</w:t>
      </w:r>
      <w:r>
        <w:t xml:space="preserve"> market changes. </w:t>
      </w:r>
    </w:p>
    <w:p w:rsidR="00A44840" w:rsidRDefault="00D35F5E">
      <w:pPr>
        <w:pStyle w:val="a8"/>
      </w:pPr>
      <w:r>
        <w:t xml:space="preserve"> The results so far indicate that cash market investors are more active </w:t>
      </w:r>
      <w:r w:rsidR="00CB68AD">
        <w:t xml:space="preserve">than futures market investors </w:t>
      </w:r>
      <w:r>
        <w:t xml:space="preserve">in terms of using </w:t>
      </w:r>
      <w:r w:rsidR="00B70B45">
        <w:rPr>
          <w:rFonts w:hint="eastAsia"/>
        </w:rPr>
        <w:t xml:space="preserve">the news for changes in </w:t>
      </w:r>
      <w:r>
        <w:t>the U</w:t>
      </w:r>
      <w:r w:rsidR="00B70B45">
        <w:rPr>
          <w:rFonts w:hint="eastAsia"/>
        </w:rPr>
        <w:t>.</w:t>
      </w:r>
      <w:r>
        <w:t>S</w:t>
      </w:r>
      <w:r w:rsidR="00B70B45">
        <w:rPr>
          <w:rFonts w:hint="eastAsia"/>
        </w:rPr>
        <w:t>.</w:t>
      </w:r>
      <w:r>
        <w:t xml:space="preserve"> market. Moreover</w:t>
      </w:r>
      <w:r w:rsidR="00B70B45">
        <w:rPr>
          <w:rFonts w:hint="eastAsia"/>
        </w:rPr>
        <w:t>,</w:t>
      </w:r>
      <w:r>
        <w:t xml:space="preserve"> investors use U</w:t>
      </w:r>
      <w:r w:rsidR="00B70B45">
        <w:rPr>
          <w:rFonts w:hint="eastAsia"/>
        </w:rPr>
        <w:t>.</w:t>
      </w:r>
      <w:r>
        <w:t>S</w:t>
      </w:r>
      <w:r w:rsidR="00B70B45">
        <w:rPr>
          <w:rFonts w:hint="eastAsia"/>
        </w:rPr>
        <w:t>.</w:t>
      </w:r>
      <w:r>
        <w:t xml:space="preserve"> market information during the 15 minutes just after the opening of the cash market. </w:t>
      </w:r>
    </w:p>
    <w:p w:rsidR="00A44840" w:rsidRDefault="004E4790">
      <w:pPr>
        <w:pStyle w:val="a8"/>
      </w:pPr>
      <w:r>
        <w:rPr>
          <w:noProof/>
        </w:rPr>
      </w:r>
      <w:r>
        <w:rPr>
          <w:noProof/>
        </w:rPr>
        <w:pict>
          <v:rect id="_x0000_s1113894787" o:spid="_x0000_s1031" alt="설명: 그림입니다. 원본 그림의 이름: CLP00000478b584.bmp 원본 그림의 크기: 가로 821pixel, 세로 816pixel" style="width:375.85pt;height:365.2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5NLMAMAAC0GAAAOAAAAZHJzL2Uyb0RvYy54bWysVE9r5DYUvxf6HYTO9dhyPDO2ibNkZ+JS&#10;SNvAtudFY8tjUVsykhJPWha2sIXCXnos7G6hUPbUw0ILzaGfKJN+hz7J4ySTvZS2Ppinp/ee3p/f&#10;+x0+2rQNumBKcykyTCYBRkwUsuRineEvv8i9GCNtqChpIwXL8CXT+NHRhx8c9l3KQlnLpmQKQRCh&#10;077LcG1Ml/q+LmrWUj2RHRNwWUnVUgNHtfZLRXuI3jZ+GAQzv5eq7JQsmNagXQ6X+MjFrypWmM+r&#10;SjODmgxDbsb9lfuv7N8/OqTpWtGu5sUuDfovsmgpF/DobaglNRSdK/5eqJYXSmpZmUkhW19WFS+Y&#10;qwGqIcGDap7UtGOuFmiO7m7bpP+/sMVnF2cK8RJmd4CRoC3M6OkmgO+pJoQcxEk0j+cYlUwX0Lbr&#10;P662b/+8+em77cvvty9/maCbVz9sf7tCO/2bH9HNm9+3b1+kaHF6ZqME4L6axtFk1XbvG//17a/X&#10;V+9SdP3u+fbn1ygOScc3rPkI3by4cgoycwo7pr7TKWT7pDtTttG6O5XFVxoJuaipWLNjpWRfM1pC&#10;c4i19/cc7EGDK1r1n8oSiqTnRrqJbSrV2oAwC7RxwLi8BQbbGFSAMpqG0cF8ilEBdyFJ5sQhx6fp&#10;6N0pbT5mskVWyLAC4Lno9OJUG5sNTUcT+5iQOW8aB75G7CnAcNDA2+Bq72wWDkvfJEFyEp/EkReF&#10;sxMvCpZL7zhfRN4sJ/Pp8mC5WCzJM/suidKalyUT9pkR1yT6Z7jZbdiAyFtka9nw0oazKWm1Xi0a&#10;hS4o7FXuPtdzuLkz8/fTcE2AWh6URMIoeBwmXj6L516UR1MvmQexF5DkcTILoiRa5vslnXLB/ntJ&#10;qM9wMg2nbkr3kn5Qm8PwOOw9s5YbYK6GtxmOndXAJRaCJ6J0ozWUN4N8rxU2/btWwLjHQTvAWowO&#10;WDeb1cYtZjKifyXLS0CwkgAw4DJgXRBqqb7GqAcGy7AAisWo+UTADliyGwU1CqtRoKIAxwwbjAZx&#10;YQZSPO8UX9cQlwyN6Y5hT3LuIGx3aMhht13ASa6SHX9a0rt/dlZ3LH/0NwAAAP//AwBQSwMEFAAG&#10;AAgAAAAhAC8G4wHWAAAABQEAAA8AAABkcnMvZG93bnJldi54bWxMj81qwzAQhO+FvIPYQm+N1BxK&#10;cC2HUgikpZc4fQDFWv9QaddISuy8fZRSaC/LDrPMflNuZu/EGUMcmDQ8LRUIpIbtQJ2Gr8P2cQ0i&#10;JkPWOCbUcMEIm2pxV5rC8kR7PNepEzmEYmE09CmNhZSx6dGbuOQRKXstB29SlqGTNpgph3snV0o9&#10;S28Gyh96M+Jbj813ffIa5KHeTuvaBcUfq/bTve/2LbLWD/fz6wuIhHP6O4YbfkaHKjMd+UQ2Cqch&#10;F0k/8+YpleXxd5FVKf/TV1cAAAD//wMAUEsBAi0AFAAGAAgAAAAhALaDOJL+AAAA4QEAABMAAAAA&#10;AAAAAAAAAAAAAAAAAFtDb250ZW50X1R5cGVzXS54bWxQSwECLQAUAAYACAAAACEAOP0h/9YAAACU&#10;AQAACwAAAAAAAAAAAAAAAAAvAQAAX3JlbHMvLnJlbHNQSwECLQAUAAYACAAAACEAJPeTSzADAAAt&#10;BgAADgAAAAAAAAAAAAAAAAAuAgAAZHJzL2Uyb0RvYy54bWxQSwECLQAUAAYACAAAACEALwbjAdYA&#10;AAAFAQAADwAAAAAAAAAAAAAAAACKBQAAZHJzL2Rvd25yZXYueG1sUEsFBgAAAAAEAAQA8wAAAI0G&#10;AAAAAA==&#10;" filled="f" stroked="f">
            <v:textbox inset="0,0,0,0">
              <w:txbxContent>
                <w:p w:rsidR="006B03CF" w:rsidRDefault="006B03CF" w:rsidP="004807DF">
                  <w:pPr>
                    <w:pStyle w:val="af1"/>
                    <w:jc w:val="both"/>
                    <w:rPr>
                      <w:noProof/>
                    </w:rPr>
                  </w:pPr>
                  <w:r>
                    <w:rPr>
                      <w:noProof/>
                    </w:rPr>
                    <w:drawing>
                      <wp:inline distT="0" distB="0" distL="0" distR="0">
                        <wp:extent cx="4238625" cy="4206330"/>
                        <wp:effectExtent l="19050" t="0" r="9525" b="0"/>
                        <wp:docPr id="38" name="그림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6"/>
                                <a:srcRect/>
                                <a:stretch>
                                  <a:fillRect/>
                                </a:stretch>
                              </pic:blipFill>
                              <pic:spPr bwMode="auto">
                                <a:xfrm>
                                  <a:off x="0" y="0"/>
                                  <a:ext cx="4238625" cy="4206330"/>
                                </a:xfrm>
                                <a:prstGeom prst="rect">
                                  <a:avLst/>
                                </a:prstGeom>
                                <a:noFill/>
                                <a:ln w="9525">
                                  <a:noFill/>
                                  <a:miter lim="800000"/>
                                  <a:headEnd/>
                                  <a:tailEnd/>
                                </a:ln>
                              </pic:spPr>
                            </pic:pic>
                          </a:graphicData>
                        </a:graphic>
                      </wp:inline>
                    </w:drawing>
                  </w:r>
                </w:p>
                <w:p w:rsidR="006B03CF" w:rsidRDefault="006B03CF">
                  <w:pPr>
                    <w:pStyle w:val="af1"/>
                  </w:pPr>
                  <w:r>
                    <w:t xml:space="preserve">&lt;Table </w:t>
                  </w:r>
                  <w:r>
                    <w:fldChar w:fldCharType="begin"/>
                  </w:r>
                  <w:r>
                    <w:instrText>SEQ 그림\* ARABIC\r 7</w:instrText>
                  </w:r>
                  <w:r>
                    <w:fldChar w:fldCharType="separate"/>
                  </w:r>
                  <w:r>
                    <w:rPr>
                      <w:noProof/>
                    </w:rPr>
                    <w:t>7</w:t>
                  </w:r>
                  <w:r>
                    <w:rPr>
                      <w:noProof/>
                    </w:rPr>
                    <w:fldChar w:fldCharType="end"/>
                  </w:r>
                  <w:r>
                    <w:t>&gt; Trading volume ratios for three S&amp;P</w:t>
                  </w:r>
                  <w:r>
                    <w:rPr>
                      <w:rFonts w:hint="eastAsia"/>
                    </w:rPr>
                    <w:t xml:space="preserve"> </w:t>
                  </w:r>
                  <w:r>
                    <w:t xml:space="preserve">500 return ranges </w:t>
                  </w:r>
                </w:p>
              </w:txbxContent>
            </v:textbox>
            <w10:wrap type="none"/>
            <w10:anchorlock/>
          </v:rect>
        </w:pict>
      </w:r>
    </w:p>
    <w:p w:rsidR="00A44840" w:rsidRDefault="00A44840">
      <w:pPr>
        <w:pStyle w:val="af"/>
      </w:pPr>
    </w:p>
    <w:p w:rsidR="00A44840" w:rsidRDefault="00D35F5E">
      <w:pPr>
        <w:pStyle w:val="aa"/>
      </w:pPr>
      <w:r>
        <w:t>V. Summary and Conclusion</w:t>
      </w:r>
    </w:p>
    <w:p w:rsidR="00A44840" w:rsidRDefault="00A44840">
      <w:pPr>
        <w:pStyle w:val="a8"/>
      </w:pPr>
    </w:p>
    <w:p w:rsidR="00A44840" w:rsidRDefault="00D35F5E">
      <w:pPr>
        <w:pStyle w:val="a8"/>
      </w:pPr>
      <w:r>
        <w:t>This study analyzes the responses of the KOSPI 200 cash and futures markets to U</w:t>
      </w:r>
      <w:r w:rsidR="00CB68AD">
        <w:rPr>
          <w:rFonts w:hint="eastAsia"/>
        </w:rPr>
        <w:t>.</w:t>
      </w:r>
      <w:r>
        <w:t>S</w:t>
      </w:r>
      <w:r w:rsidR="00CB68AD">
        <w:rPr>
          <w:rFonts w:hint="eastAsia"/>
        </w:rPr>
        <w:t>.</w:t>
      </w:r>
      <w:r>
        <w:t xml:space="preserve"> stock market news </w:t>
      </w:r>
      <w:r w:rsidR="00CB68AD">
        <w:rPr>
          <w:rFonts w:hint="eastAsia"/>
        </w:rPr>
        <w:t xml:space="preserve">by utilizing the </w:t>
      </w:r>
      <w:r>
        <w:t xml:space="preserve">price and trading volume data from January 2001 to August 2012. We traced the </w:t>
      </w:r>
      <w:r w:rsidR="00CB68AD">
        <w:t>responses</w:t>
      </w:r>
      <w:r>
        <w:t xml:space="preserve"> of prices and trading volume using</w:t>
      </w:r>
      <w:r w:rsidR="00CB68AD">
        <w:rPr>
          <w:rFonts w:hint="eastAsia"/>
        </w:rPr>
        <w:t xml:space="preserve"> the</w:t>
      </w:r>
      <w:r>
        <w:t xml:space="preserve"> 15</w:t>
      </w:r>
      <w:r w:rsidR="00CB68AD">
        <w:rPr>
          <w:rFonts w:hint="eastAsia"/>
        </w:rPr>
        <w:t>-</w:t>
      </w:r>
      <w:r>
        <w:t xml:space="preserve">minute interval data from </w:t>
      </w:r>
      <w:r w:rsidR="00CB68AD">
        <w:rPr>
          <w:rFonts w:hint="eastAsia"/>
        </w:rPr>
        <w:t xml:space="preserve">the </w:t>
      </w:r>
      <w:r>
        <w:t xml:space="preserve">daily opening to </w:t>
      </w:r>
      <w:r w:rsidR="00CB68AD">
        <w:rPr>
          <w:rFonts w:hint="eastAsia"/>
        </w:rPr>
        <w:t xml:space="preserve">the </w:t>
      </w:r>
      <w:r>
        <w:t xml:space="preserve">closing. We have </w:t>
      </w:r>
      <w:r w:rsidR="00CB68AD">
        <w:rPr>
          <w:rFonts w:hint="eastAsia"/>
        </w:rPr>
        <w:t>discovered</w:t>
      </w:r>
      <w:r w:rsidR="00CB68AD">
        <w:t xml:space="preserve"> </w:t>
      </w:r>
      <w:r>
        <w:t>the following</w:t>
      </w:r>
      <w:r w:rsidR="00CB68AD">
        <w:rPr>
          <w:rFonts w:hint="eastAsia"/>
        </w:rPr>
        <w:t xml:space="preserve"> results</w:t>
      </w:r>
      <w:r>
        <w:t xml:space="preserve">.  </w:t>
      </w:r>
    </w:p>
    <w:p w:rsidR="00A44840" w:rsidRDefault="00D35F5E">
      <w:pPr>
        <w:pStyle w:val="a8"/>
      </w:pPr>
      <w:r>
        <w:t>First, both markets respond sensitively to U</w:t>
      </w:r>
      <w:r w:rsidR="00CB68AD">
        <w:rPr>
          <w:rFonts w:hint="eastAsia"/>
        </w:rPr>
        <w:t>.</w:t>
      </w:r>
      <w:r>
        <w:t>S</w:t>
      </w:r>
      <w:r w:rsidR="00CB68AD">
        <w:rPr>
          <w:rFonts w:hint="eastAsia"/>
        </w:rPr>
        <w:t>.</w:t>
      </w:r>
      <w:r>
        <w:t xml:space="preserve"> stock market news</w:t>
      </w:r>
      <w:r w:rsidR="00CB68AD">
        <w:rPr>
          <w:rFonts w:hint="eastAsia"/>
        </w:rPr>
        <w:t>;</w:t>
      </w:r>
      <w:r>
        <w:t xml:space="preserve"> </w:t>
      </w:r>
      <w:r w:rsidR="00CB68AD">
        <w:rPr>
          <w:rFonts w:hint="eastAsia"/>
        </w:rPr>
        <w:t>however,</w:t>
      </w:r>
      <w:r w:rsidR="00CB68AD">
        <w:t xml:space="preserve"> </w:t>
      </w:r>
      <w:r>
        <w:t>the cash market response is greater than that of the futures market. Cash market opening price sensitivity (</w:t>
      </w:r>
      <m:oMath>
        <m:r>
          <m:rPr>
            <m:sty m:val="p"/>
          </m:rPr>
          <w:rPr>
            <w:rFonts w:ascii="Cambria Math"/>
          </w:rPr>
          <m:t>b</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S,9:00</m:t>
                </m:r>
              </m:e>
            </m:d>
          </m:sub>
        </m:sSub>
      </m:oMath>
      <w:r>
        <w:t xml:space="preserve"> of equation (6))</w:t>
      </w:r>
      <w:r w:rsidR="00CB68AD">
        <w:rPr>
          <w:rFonts w:hint="eastAsia"/>
        </w:rPr>
        <w:t xml:space="preserve"> </w:t>
      </w:r>
      <w:r>
        <w:t>is 0.6223 while that of the futures market (</w:t>
      </w:r>
      <m:oMath>
        <m:r>
          <m:rPr>
            <m:sty m:val="p"/>
          </m:rPr>
          <w:rPr>
            <w:rFonts w:ascii="Cambria Math"/>
          </w:rPr>
          <m:t>b</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F,9:00</m:t>
                </m:r>
              </m:e>
            </m:d>
          </m:sub>
        </m:sSub>
      </m:oMath>
      <w:r>
        <w:t xml:space="preserve"> of equation (6))</w:t>
      </w:r>
      <w:r w:rsidR="00CB68AD">
        <w:rPr>
          <w:rFonts w:hint="eastAsia"/>
        </w:rPr>
        <w:t xml:space="preserve"> </w:t>
      </w:r>
      <w:r>
        <w:t>is 0.5548</w:t>
      </w:r>
      <w:r w:rsidR="00CB68AD">
        <w:rPr>
          <w:rFonts w:hint="eastAsia"/>
        </w:rPr>
        <w:t>;</w:t>
      </w:r>
      <w:r>
        <w:t xml:space="preserve"> the futures sensitivity is smaller by 0.0675. However</w:t>
      </w:r>
      <w:r w:rsidR="00CB68AD">
        <w:rPr>
          <w:rFonts w:hint="eastAsia"/>
        </w:rPr>
        <w:t>,</w:t>
      </w:r>
      <w:r>
        <w:t xml:space="preserve"> </w:t>
      </w:r>
      <w:r w:rsidR="00CB68AD">
        <w:rPr>
          <w:rFonts w:hint="eastAsia"/>
        </w:rPr>
        <w:t xml:space="preserve">the </w:t>
      </w:r>
      <w:r>
        <w:t>return reverses gradually as the sensitiv</w:t>
      </w:r>
      <w:r w:rsidR="00CB68AD">
        <w:rPr>
          <w:rFonts w:hint="eastAsia"/>
        </w:rPr>
        <w:t>iti</w:t>
      </w:r>
      <w:r>
        <w:t>es of both markets decrease (</w:t>
      </w:r>
      <m:oMath>
        <m:r>
          <m:rPr>
            <m:sty m:val="p"/>
          </m:rPr>
          <w:rPr>
            <w:rFonts w:ascii="Cambria Math"/>
          </w:rPr>
          <m:t>b</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S,15:00</m:t>
                </m:r>
              </m:e>
            </m:d>
          </m:sub>
        </m:sSub>
      </m:oMath>
      <w:r>
        <w:t xml:space="preserve">and </w:t>
      </w:r>
      <m:oMath>
        <m:r>
          <m:rPr>
            <m:sty m:val="p"/>
          </m:rPr>
          <w:rPr>
            <w:rFonts w:ascii="Cambria Math"/>
          </w:rPr>
          <m:t>b</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F,15:15</m:t>
                </m:r>
              </m:e>
            </m:d>
          </m:sub>
        </m:sSub>
      </m:oMath>
      <w:r>
        <w:t xml:space="preserve"> decrease to 0.4631 and 0.4453</w:t>
      </w:r>
      <w:r w:rsidR="00CB68AD">
        <w:rPr>
          <w:rFonts w:hint="eastAsia"/>
        </w:rPr>
        <w:t>,</w:t>
      </w:r>
      <w:r>
        <w:t xml:space="preserve"> respectively), and the difference between the two responses decrease to 0.0178, </w:t>
      </w:r>
      <w:r w:rsidR="00CB68AD">
        <w:rPr>
          <w:rFonts w:hint="eastAsia"/>
        </w:rPr>
        <w:t>implying</w:t>
      </w:r>
      <w:r>
        <w:t xml:space="preserve"> a statistically meaningful arbitrage opportunity, which requires</w:t>
      </w:r>
      <w:r w:rsidR="00CB68AD">
        <w:rPr>
          <w:rFonts w:hint="eastAsia"/>
        </w:rPr>
        <w:t xml:space="preserve"> a</w:t>
      </w:r>
      <w:r>
        <w:t xml:space="preserve"> more accurate analysis.  </w:t>
      </w:r>
    </w:p>
    <w:p w:rsidR="00A44840" w:rsidRDefault="00D35F5E">
      <w:pPr>
        <w:pStyle w:val="a8"/>
      </w:pPr>
      <w:r>
        <w:lastRenderedPageBreak/>
        <w:t>Second, when we compare</w:t>
      </w:r>
      <w:r w:rsidR="00CB68AD">
        <w:rPr>
          <w:rFonts w:hint="eastAsia"/>
        </w:rPr>
        <w:t xml:space="preserve"> the</w:t>
      </w:r>
      <w:r>
        <w:t xml:space="preserve"> price responses for the sub</w:t>
      </w:r>
      <w:r w:rsidR="00CB68AD">
        <w:rPr>
          <w:rFonts w:hint="eastAsia"/>
        </w:rPr>
        <w:t>-</w:t>
      </w:r>
      <w:r>
        <w:t xml:space="preserve">periods, the </w:t>
      </w:r>
      <w:r w:rsidR="00CB68AD">
        <w:rPr>
          <w:rFonts w:hint="eastAsia"/>
        </w:rPr>
        <w:t xml:space="preserve">post-crisis </w:t>
      </w:r>
      <w:r>
        <w:t xml:space="preserve">response is smaller than that </w:t>
      </w:r>
      <w:r w:rsidR="00CB68AD">
        <w:rPr>
          <w:rFonts w:hint="eastAsia"/>
        </w:rPr>
        <w:t>of the pre-crisis</w:t>
      </w:r>
      <w:r>
        <w:t>. Before the crisis, the sensitivity of the cash and futures are 0.7224 and 0.6681</w:t>
      </w:r>
      <w:r w:rsidR="00CB68AD">
        <w:rPr>
          <w:rFonts w:hint="eastAsia"/>
        </w:rPr>
        <w:t>,</w:t>
      </w:r>
      <w:r>
        <w:t xml:space="preserve"> respectively, but after the crisis</w:t>
      </w:r>
      <w:r w:rsidR="00CB68AD">
        <w:rPr>
          <w:rFonts w:hint="eastAsia"/>
        </w:rPr>
        <w:t>,</w:t>
      </w:r>
      <w:r>
        <w:t xml:space="preserve"> </w:t>
      </w:r>
      <w:r w:rsidR="00CB68AD">
        <w:rPr>
          <w:rFonts w:hint="eastAsia"/>
        </w:rPr>
        <w:t>they</w:t>
      </w:r>
      <w:r>
        <w:t xml:space="preserve"> are 0.5706 and 0.4962</w:t>
      </w:r>
      <w:r w:rsidR="00CB68AD">
        <w:rPr>
          <w:rFonts w:hint="eastAsia"/>
        </w:rPr>
        <w:t>,</w:t>
      </w:r>
      <w:r>
        <w:t xml:space="preserve"> respectively. This pattern is repeated in the closing prices</w:t>
      </w:r>
      <w:r w:rsidR="00BC4C86">
        <w:rPr>
          <w:rFonts w:hint="eastAsia"/>
        </w:rPr>
        <w:t xml:space="preserve"> thereby implying </w:t>
      </w:r>
      <w:r>
        <w:t>that the presumption</w:t>
      </w:r>
      <w:r w:rsidR="00BC4C86">
        <w:rPr>
          <w:rFonts w:hint="eastAsia"/>
        </w:rPr>
        <w:t>, as to how the</w:t>
      </w:r>
      <w:r>
        <w:t xml:space="preserve"> Korean market has become more sensitive to the U</w:t>
      </w:r>
      <w:r w:rsidR="00CB68AD">
        <w:rPr>
          <w:rFonts w:hint="eastAsia"/>
        </w:rPr>
        <w:t>.</w:t>
      </w:r>
      <w:r>
        <w:t>S</w:t>
      </w:r>
      <w:r w:rsidR="00CB68AD">
        <w:rPr>
          <w:rFonts w:hint="eastAsia"/>
        </w:rPr>
        <w:t>.</w:t>
      </w:r>
      <w:r>
        <w:t xml:space="preserve"> market after the crisis</w:t>
      </w:r>
      <w:r w:rsidR="00BC4C86">
        <w:rPr>
          <w:rFonts w:hint="eastAsia"/>
        </w:rPr>
        <w:t>,</w:t>
      </w:r>
      <w:r>
        <w:t xml:space="preserve"> is not true. </w:t>
      </w:r>
    </w:p>
    <w:p w:rsidR="00A44840" w:rsidRDefault="00D35F5E">
      <w:pPr>
        <w:pStyle w:val="a8"/>
      </w:pPr>
      <w:r>
        <w:t>Third, foreign investors increase their buying ratio while domestic investor</w:t>
      </w:r>
      <w:r w:rsidR="00BC4C86">
        <w:rPr>
          <w:rFonts w:hint="eastAsia"/>
        </w:rPr>
        <w:t>s</w:t>
      </w:r>
      <w:r>
        <w:t xml:space="preserve"> decrease their buying ratio after the positive overnight U</w:t>
      </w:r>
      <w:r w:rsidR="00BC4C86">
        <w:rPr>
          <w:rFonts w:hint="eastAsia"/>
        </w:rPr>
        <w:t>.</w:t>
      </w:r>
      <w:r>
        <w:t>S</w:t>
      </w:r>
      <w:r w:rsidR="00BC4C86">
        <w:rPr>
          <w:rFonts w:hint="eastAsia"/>
        </w:rPr>
        <w:t>.</w:t>
      </w:r>
      <w:r>
        <w:t xml:space="preserve"> stock market performance. This phenomenon is evident and clear both before and after the crisis in the cash market, </w:t>
      </w:r>
      <w:r w:rsidR="00BC4C86">
        <w:rPr>
          <w:rFonts w:hint="eastAsia"/>
        </w:rPr>
        <w:t>whereas</w:t>
      </w:r>
      <w:r w:rsidR="00BC4C86">
        <w:t xml:space="preserve"> </w:t>
      </w:r>
      <w:r>
        <w:t xml:space="preserve">it is evident only after the crisis in the futures market. As the Korean cash market has </w:t>
      </w:r>
      <w:r w:rsidR="00BC4C86">
        <w:rPr>
          <w:rFonts w:hint="eastAsia"/>
        </w:rPr>
        <w:t xml:space="preserve">a </w:t>
      </w:r>
      <w:r>
        <w:t>long memory of the U</w:t>
      </w:r>
      <w:r w:rsidR="00BC4C86">
        <w:rPr>
          <w:rFonts w:hint="eastAsia"/>
        </w:rPr>
        <w:t>.</w:t>
      </w:r>
      <w:r>
        <w:t>S</w:t>
      </w:r>
      <w:r w:rsidR="00BC4C86">
        <w:rPr>
          <w:rFonts w:hint="eastAsia"/>
        </w:rPr>
        <w:t>.</w:t>
      </w:r>
      <w:r>
        <w:t xml:space="preserve"> market that continues for two or three days, it is plausible that foreign investors reap positive investment profits. However</w:t>
      </w:r>
      <w:r w:rsidR="00BC4C86">
        <w:rPr>
          <w:rFonts w:hint="eastAsia"/>
        </w:rPr>
        <w:t>,</w:t>
      </w:r>
      <w:r>
        <w:t xml:space="preserve"> the Korean futures market did not show such long memory of the U</w:t>
      </w:r>
      <w:r w:rsidR="00BC4C86">
        <w:rPr>
          <w:rFonts w:hint="eastAsia"/>
        </w:rPr>
        <w:t>.</w:t>
      </w:r>
      <w:r>
        <w:t>S</w:t>
      </w:r>
      <w:r w:rsidR="00BC4C86">
        <w:rPr>
          <w:rFonts w:hint="eastAsia"/>
        </w:rPr>
        <w:t>.</w:t>
      </w:r>
      <w:r>
        <w:t xml:space="preserve"> market. </w:t>
      </w:r>
    </w:p>
    <w:p w:rsidR="00A44840" w:rsidRDefault="00D35F5E">
      <w:pPr>
        <w:pStyle w:val="a8"/>
      </w:pPr>
      <w:r>
        <w:t>Fourth, the trading volume in the cash market increased at the interval between 9:00 and 9:15 when the U</w:t>
      </w:r>
      <w:r w:rsidR="00BC4C86">
        <w:rPr>
          <w:rFonts w:hint="eastAsia"/>
        </w:rPr>
        <w:t>.</w:t>
      </w:r>
      <w:r>
        <w:t>S</w:t>
      </w:r>
      <w:r w:rsidR="00BC4C86">
        <w:rPr>
          <w:rFonts w:hint="eastAsia"/>
        </w:rPr>
        <w:t>.</w:t>
      </w:r>
      <w:r>
        <w:t xml:space="preserve"> market showed price changes greater than </w:t>
      </w:r>
      <w:r>
        <w:t>±</w:t>
      </w:r>
      <w:r>
        <w:t xml:space="preserve">2% in the previous day.  </w:t>
      </w:r>
      <w:r w:rsidR="00BC4C86">
        <w:rPr>
          <w:rFonts w:hint="eastAsia"/>
        </w:rPr>
        <w:t>However,</w:t>
      </w:r>
      <w:r w:rsidR="00BC4C86">
        <w:t xml:space="preserve"> </w:t>
      </w:r>
      <w:r>
        <w:t>in the futures market, this did not happen. This implies that the investors in the cash market use U</w:t>
      </w:r>
      <w:r w:rsidR="00BC4C86">
        <w:rPr>
          <w:rFonts w:hint="eastAsia"/>
        </w:rPr>
        <w:t>.</w:t>
      </w:r>
      <w:r>
        <w:t>S</w:t>
      </w:r>
      <w:r w:rsidR="00BC4C86">
        <w:rPr>
          <w:rFonts w:hint="eastAsia"/>
        </w:rPr>
        <w:t>.</w:t>
      </w:r>
      <w:r>
        <w:t xml:space="preserve"> market news more actively than the investors in the futures market. </w:t>
      </w:r>
    </w:p>
    <w:p w:rsidR="00A44840" w:rsidRDefault="00D35F5E">
      <w:pPr>
        <w:pStyle w:val="a8"/>
      </w:pPr>
      <w:r>
        <w:t xml:space="preserve">In sum, </w:t>
      </w:r>
      <w:r w:rsidR="00BC4C86">
        <w:rPr>
          <w:rFonts w:hint="eastAsia"/>
        </w:rPr>
        <w:t xml:space="preserve">the </w:t>
      </w:r>
      <w:r>
        <w:t>KOSPI 200 cash market responds more sensitively than the KOSPI 200 futures market to the U</w:t>
      </w:r>
      <w:r w:rsidR="00BC4C86">
        <w:rPr>
          <w:rFonts w:hint="eastAsia"/>
        </w:rPr>
        <w:t>.</w:t>
      </w:r>
      <w:r>
        <w:t>S</w:t>
      </w:r>
      <w:r w:rsidR="00BC4C86">
        <w:rPr>
          <w:rFonts w:hint="eastAsia"/>
        </w:rPr>
        <w:t>.</w:t>
      </w:r>
      <w:r>
        <w:t xml:space="preserve"> market shock </w:t>
      </w:r>
      <w:r w:rsidR="00BC4C86">
        <w:rPr>
          <w:rFonts w:hint="eastAsia"/>
        </w:rPr>
        <w:t>throughout the entire</w:t>
      </w:r>
      <w:r>
        <w:t xml:space="preserve"> day. Specifically</w:t>
      </w:r>
      <w:r w:rsidR="00BC4C86">
        <w:rPr>
          <w:rFonts w:hint="eastAsia"/>
        </w:rPr>
        <w:t>,</w:t>
      </w:r>
      <w:r>
        <w:t xml:space="preserve"> </w:t>
      </w:r>
      <w:r w:rsidR="00BC4C86">
        <w:rPr>
          <w:rFonts w:hint="eastAsia"/>
        </w:rPr>
        <w:t xml:space="preserve">the </w:t>
      </w:r>
      <w:r>
        <w:t>opening prices in both of the markets overreact to U</w:t>
      </w:r>
      <w:r w:rsidR="00BC4C86">
        <w:rPr>
          <w:rFonts w:hint="eastAsia"/>
        </w:rPr>
        <w:t>.</w:t>
      </w:r>
      <w:r>
        <w:t>S</w:t>
      </w:r>
      <w:r w:rsidR="00BC4C86">
        <w:rPr>
          <w:rFonts w:hint="eastAsia"/>
        </w:rPr>
        <w:t>.</w:t>
      </w:r>
      <w:r>
        <w:t xml:space="preserve"> market news and decrease over the subsequent day. However, the decreasing pattern for one market neither lead</w:t>
      </w:r>
      <w:r w:rsidR="00BC4C86">
        <w:rPr>
          <w:rFonts w:hint="eastAsia"/>
        </w:rPr>
        <w:t>s</w:t>
      </w:r>
      <w:r>
        <w:t xml:space="preserve"> nor lag</w:t>
      </w:r>
      <w:r w:rsidR="00BC4C86">
        <w:rPr>
          <w:rFonts w:hint="eastAsia"/>
        </w:rPr>
        <w:t>s</w:t>
      </w:r>
      <w:r>
        <w:t xml:space="preserve"> the other market, implying that their decreasing patterns </w:t>
      </w:r>
      <w:r w:rsidR="00BC4C86">
        <w:rPr>
          <w:rFonts w:hint="eastAsia"/>
        </w:rPr>
        <w:t xml:space="preserve">nearly </w:t>
      </w:r>
      <w:r w:rsidR="00BC4C86">
        <w:t>equal</w:t>
      </w:r>
      <w:r>
        <w:t>. When the price change in the U</w:t>
      </w:r>
      <w:r w:rsidR="00BC4C86">
        <w:rPr>
          <w:rFonts w:hint="eastAsia"/>
        </w:rPr>
        <w:t>.</w:t>
      </w:r>
      <w:r>
        <w:t>S</w:t>
      </w:r>
      <w:r w:rsidR="00BC4C86">
        <w:rPr>
          <w:rFonts w:hint="eastAsia"/>
        </w:rPr>
        <w:t>.</w:t>
      </w:r>
      <w:r>
        <w:t xml:space="preserve"> market on date t-1 is positive, foreign investors show </w:t>
      </w:r>
      <w:r w:rsidR="00BC4C86">
        <w:rPr>
          <w:rFonts w:hint="eastAsia"/>
        </w:rPr>
        <w:t xml:space="preserve">a </w:t>
      </w:r>
      <w:r>
        <w:t xml:space="preserve">positive net buying behavior while domestic investors show </w:t>
      </w:r>
      <w:r w:rsidR="00BC4C86">
        <w:rPr>
          <w:rFonts w:hint="eastAsia"/>
        </w:rPr>
        <w:t xml:space="preserve">a </w:t>
      </w:r>
      <w:r>
        <w:t xml:space="preserve">negative net buying behavior.  However, this pattern is evident in the spot market. </w:t>
      </w:r>
      <w:r w:rsidR="00BC4C86">
        <w:rPr>
          <w:rFonts w:hint="eastAsia"/>
        </w:rPr>
        <w:t>I</w:t>
      </w:r>
      <w:r w:rsidR="00BC4C86">
        <w:t xml:space="preserve">nvestors </w:t>
      </w:r>
      <w:r>
        <w:t>in both markets use the U</w:t>
      </w:r>
      <w:r w:rsidR="00BC4C86">
        <w:rPr>
          <w:rFonts w:hint="eastAsia"/>
        </w:rPr>
        <w:t>.</w:t>
      </w:r>
      <w:r>
        <w:t>S</w:t>
      </w:r>
      <w:r w:rsidR="00BC4C86">
        <w:rPr>
          <w:rFonts w:hint="eastAsia"/>
        </w:rPr>
        <w:t>.</w:t>
      </w:r>
      <w:r>
        <w:t xml:space="preserve"> market price as important information</w:t>
      </w:r>
      <w:r w:rsidR="00BC4C86">
        <w:rPr>
          <w:rFonts w:hint="eastAsia"/>
        </w:rPr>
        <w:t>;</w:t>
      </w:r>
      <w:r>
        <w:t xml:space="preserve"> </w:t>
      </w:r>
      <w:r w:rsidR="00BC4C86">
        <w:rPr>
          <w:rFonts w:hint="eastAsia"/>
        </w:rPr>
        <w:t>yet,</w:t>
      </w:r>
      <w:r w:rsidR="00BC4C86">
        <w:t xml:space="preserve"> </w:t>
      </w:r>
      <w:r>
        <w:t xml:space="preserve">investors in the spot market use the information more actively than investors in the futures market.  </w:t>
      </w:r>
    </w:p>
    <w:p w:rsidR="00A44840" w:rsidRDefault="00D35F5E">
      <w:pPr>
        <w:pStyle w:val="a8"/>
      </w:pPr>
      <w:r>
        <w:t xml:space="preserve">These findings lead to a new research topic. We </w:t>
      </w:r>
      <w:r w:rsidR="00685AFA">
        <w:rPr>
          <w:rFonts w:hint="eastAsia"/>
        </w:rPr>
        <w:t>are aware</w:t>
      </w:r>
      <w:r w:rsidR="00685AFA">
        <w:t xml:space="preserve"> </w:t>
      </w:r>
      <w:r>
        <w:t>that the transaction cost for the KOSPI</w:t>
      </w:r>
      <w:r w:rsidR="00685AFA">
        <w:rPr>
          <w:rFonts w:hint="eastAsia"/>
        </w:rPr>
        <w:t xml:space="preserve"> </w:t>
      </w:r>
      <w:r>
        <w:t xml:space="preserve">200 cash market is much higher than that for the futures market and </w:t>
      </w:r>
      <w:r w:rsidR="00685AFA">
        <w:rPr>
          <w:rFonts w:hint="eastAsia"/>
        </w:rPr>
        <w:t xml:space="preserve">further, </w:t>
      </w:r>
      <w:r>
        <w:t xml:space="preserve">short sales is not always allowed in the spot market. It would be worthwhile to look into questions </w:t>
      </w:r>
      <w:r w:rsidR="00685AFA">
        <w:rPr>
          <w:rFonts w:hint="eastAsia"/>
        </w:rPr>
        <w:t xml:space="preserve">as to </w:t>
      </w:r>
      <w:r>
        <w:t>why the spot market is more responsive to the U.S. market than the futures market in spite of these costs. Moreover</w:t>
      </w:r>
      <w:r w:rsidR="00685AFA">
        <w:rPr>
          <w:rFonts w:hint="eastAsia"/>
        </w:rPr>
        <w:t>,</w:t>
      </w:r>
      <w:r>
        <w:t xml:space="preserve"> </w:t>
      </w:r>
      <w:r w:rsidRPr="00966A15">
        <w:t xml:space="preserve">the impact of the opening of </w:t>
      </w:r>
      <w:r w:rsidR="00966A15" w:rsidRPr="00153104">
        <w:t xml:space="preserve">the </w:t>
      </w:r>
      <w:r w:rsidRPr="00966A15">
        <w:t xml:space="preserve">night KOSPI 200 futures market on </w:t>
      </w:r>
      <w:r w:rsidRPr="00D06C81">
        <w:t>c</w:t>
      </w:r>
      <w:r w:rsidRPr="00794BF1">
        <w:t>ash and futures trading also deserves further attention.</w:t>
      </w:r>
      <w:r w:rsidR="00966A15">
        <w:rPr>
          <w:rFonts w:hint="eastAsia"/>
        </w:rPr>
        <w:t xml:space="preserve"> </w:t>
      </w:r>
    </w:p>
    <w:p w:rsidR="00A44840" w:rsidRDefault="00D35F5E">
      <w:r>
        <w:br w:type="page"/>
      </w:r>
    </w:p>
    <w:p w:rsidR="00A44840" w:rsidRDefault="000B49FF">
      <w:pPr>
        <w:pStyle w:val="ab"/>
      </w:pPr>
      <w:r>
        <w:rPr>
          <w:rFonts w:hint="eastAsia"/>
        </w:rPr>
        <w:lastRenderedPageBreak/>
        <w:t>Reference</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Arshanapalli</w:t>
      </w:r>
      <w:proofErr w:type="spellEnd"/>
      <w:r>
        <w:rPr>
          <w:rFonts w:ascii="HY신명조" w:eastAsia="HY신명조" w:cs="HY신명조"/>
        </w:rPr>
        <w:t xml:space="preserve">, B. &amp; J. </w:t>
      </w:r>
      <w:proofErr w:type="spellStart"/>
      <w:proofErr w:type="gramStart"/>
      <w:r>
        <w:rPr>
          <w:rFonts w:ascii="HY신명조" w:eastAsia="HY신명조" w:cs="HY신명조"/>
        </w:rPr>
        <w:t>Doukas</w:t>
      </w:r>
      <w:proofErr w:type="spellEnd"/>
      <w:r>
        <w:rPr>
          <w:rFonts w:ascii="HY신명조" w:eastAsia="HY신명조" w:cs="HY신명조"/>
        </w:rPr>
        <w:t>(</w:t>
      </w:r>
      <w:proofErr w:type="gramEnd"/>
      <w:r>
        <w:rPr>
          <w:rFonts w:ascii="HY신명조" w:eastAsia="HY신명조" w:cs="HY신명조"/>
        </w:rPr>
        <w:t>1993), "International Stock Market Linkages : Evidence from the Pre- and Post- October 1987 Period," Journal of Banking and Finance, 17, pp.193-208.</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Bekaert</w:t>
      </w:r>
      <w:proofErr w:type="spellEnd"/>
      <w:r>
        <w:rPr>
          <w:rFonts w:ascii="HY신명조" w:eastAsia="HY신명조" w:cs="HY신명조"/>
        </w:rPr>
        <w:t xml:space="preserve">, G. &amp; C. R. </w:t>
      </w:r>
      <w:proofErr w:type="gramStart"/>
      <w:r>
        <w:rPr>
          <w:rFonts w:ascii="HY신명조" w:eastAsia="HY신명조" w:cs="HY신명조"/>
        </w:rPr>
        <w:t>Harvey(</w:t>
      </w:r>
      <w:proofErr w:type="gramEnd"/>
      <w:r>
        <w:rPr>
          <w:rFonts w:ascii="HY신명조" w:eastAsia="HY신명조" w:cs="HY신명조"/>
        </w:rPr>
        <w:t>1995), "Time Varying World Market Integration," Journal of Finance, 50, pp.403-444.</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Bekaert</w:t>
      </w:r>
      <w:proofErr w:type="spellEnd"/>
      <w:r>
        <w:rPr>
          <w:rFonts w:ascii="HY신명조" w:eastAsia="HY신명조" w:cs="HY신명조"/>
        </w:rPr>
        <w:t xml:space="preserve">, G. &amp; C. R. </w:t>
      </w:r>
      <w:proofErr w:type="gramStart"/>
      <w:r>
        <w:rPr>
          <w:rFonts w:ascii="HY신명조" w:eastAsia="HY신명조" w:cs="HY신명조"/>
        </w:rPr>
        <w:t>Harvey(</w:t>
      </w:r>
      <w:proofErr w:type="gramEnd"/>
      <w:r>
        <w:rPr>
          <w:rFonts w:ascii="HY신명조" w:eastAsia="HY신명조" w:cs="HY신명조"/>
        </w:rPr>
        <w:t>1997), "Emerging Equity Market Volatility," Journal of Financial Economics, 43, pp.29-77.</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Bekaert</w:t>
      </w:r>
      <w:proofErr w:type="spellEnd"/>
      <w:r>
        <w:rPr>
          <w:rFonts w:ascii="HY신명조" w:eastAsia="HY신명조" w:cs="HY신명조"/>
        </w:rPr>
        <w:t xml:space="preserve">, G. &amp; C. R. </w:t>
      </w:r>
      <w:proofErr w:type="gramStart"/>
      <w:r>
        <w:rPr>
          <w:rFonts w:ascii="HY신명조" w:eastAsia="HY신명조" w:cs="HY신명조"/>
        </w:rPr>
        <w:t>Harvey(</w:t>
      </w:r>
      <w:proofErr w:type="gramEnd"/>
      <w:r>
        <w:rPr>
          <w:rFonts w:ascii="HY신명조" w:eastAsia="HY신명조" w:cs="HY신명조"/>
        </w:rPr>
        <w:t>2000), "Foreign Speculators and Emerging Equity Markets," Journal of Finance, 55, pp.565-614.</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Baele</w:t>
      </w:r>
      <w:proofErr w:type="spellEnd"/>
      <w:r>
        <w:rPr>
          <w:rFonts w:ascii="HY신명조" w:eastAsia="HY신명조" w:cs="HY신명조"/>
        </w:rPr>
        <w:t>, L</w:t>
      </w:r>
      <w:proofErr w:type="gramStart"/>
      <w:r>
        <w:rPr>
          <w:rFonts w:ascii="HY신명조" w:eastAsia="HY신명조" w:cs="HY신명조"/>
        </w:rPr>
        <w:t>.(</w:t>
      </w:r>
      <w:proofErr w:type="gramEnd"/>
      <w:r>
        <w:rPr>
          <w:rFonts w:ascii="HY신명조" w:eastAsia="HY신명조" w:cs="HY신명조"/>
        </w:rPr>
        <w:t>2004), "Volatility Spillover Effects in European Equity Markets," Working paper.</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Eun</w:t>
      </w:r>
      <w:proofErr w:type="spellEnd"/>
      <w:r>
        <w:rPr>
          <w:rFonts w:ascii="HY신명조" w:eastAsia="HY신명조" w:cs="HY신명조"/>
        </w:rPr>
        <w:t xml:space="preserve">, C. S. &amp; S. </w:t>
      </w:r>
      <w:proofErr w:type="gramStart"/>
      <w:r>
        <w:rPr>
          <w:rFonts w:ascii="HY신명조" w:eastAsia="HY신명조" w:cs="HY신명조"/>
        </w:rPr>
        <w:t>Shim(</w:t>
      </w:r>
      <w:proofErr w:type="gramEnd"/>
      <w:r>
        <w:rPr>
          <w:rFonts w:ascii="HY신명조" w:eastAsia="HY신명조" w:cs="HY신명조"/>
        </w:rPr>
        <w:t>1989), "International Transmission of Stock Market Movement," Journal of Financial and Quantitative Analysis, 24, pp.241-260.</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Hamao</w:t>
      </w:r>
      <w:proofErr w:type="spellEnd"/>
      <w:r>
        <w:rPr>
          <w:rFonts w:ascii="HY신명조" w:eastAsia="HY신명조" w:cs="HY신명조"/>
        </w:rPr>
        <w:t xml:space="preserve">, Y., R. </w:t>
      </w:r>
      <w:proofErr w:type="spellStart"/>
      <w:r>
        <w:rPr>
          <w:rFonts w:ascii="HY신명조" w:eastAsia="HY신명조" w:cs="HY신명조"/>
        </w:rPr>
        <w:t>Masulis</w:t>
      </w:r>
      <w:proofErr w:type="spellEnd"/>
      <w:r>
        <w:rPr>
          <w:rFonts w:ascii="HY신명조" w:eastAsia="HY신명조" w:cs="HY신명조"/>
        </w:rPr>
        <w:t xml:space="preserve"> and V. </w:t>
      </w:r>
      <w:proofErr w:type="gramStart"/>
      <w:r>
        <w:rPr>
          <w:rFonts w:ascii="HY신명조" w:eastAsia="HY신명조" w:cs="HY신명조"/>
        </w:rPr>
        <w:t>Ng(</w:t>
      </w:r>
      <w:proofErr w:type="gramEnd"/>
      <w:r>
        <w:rPr>
          <w:rFonts w:ascii="HY신명조" w:eastAsia="HY신명조" w:cs="HY신명조"/>
        </w:rPr>
        <w:t>1990), "Correlations in Price Changes and Volatility across International Stock Markets," Review of Financial Studies, 3, pp.281-307.</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Karolyi</w:t>
      </w:r>
      <w:proofErr w:type="spellEnd"/>
      <w:r>
        <w:rPr>
          <w:rFonts w:ascii="HY신명조" w:eastAsia="HY신명조" w:cs="HY신명조"/>
        </w:rPr>
        <w:t xml:space="preserve">, G. A. &amp; R. M. </w:t>
      </w:r>
      <w:proofErr w:type="spellStart"/>
      <w:r>
        <w:rPr>
          <w:rFonts w:ascii="HY신명조" w:eastAsia="HY신명조" w:cs="HY신명조"/>
        </w:rPr>
        <w:t>Stulz</w:t>
      </w:r>
      <w:proofErr w:type="spellEnd"/>
      <w:r>
        <w:rPr>
          <w:rFonts w:ascii="HY신명조" w:eastAsia="HY신명조" w:cs="HY신명조"/>
        </w:rPr>
        <w:t xml:space="preserve">, "Why Do Markets Move Together? </w:t>
      </w:r>
      <w:proofErr w:type="gramStart"/>
      <w:r>
        <w:rPr>
          <w:rFonts w:ascii="HY신명조" w:eastAsia="HY신명조" w:cs="HY신명조"/>
        </w:rPr>
        <w:t xml:space="preserve">An Investigation of U.S.-Japan Stock Return </w:t>
      </w:r>
      <w:proofErr w:type="spellStart"/>
      <w:r>
        <w:rPr>
          <w:rFonts w:ascii="HY신명조" w:eastAsia="HY신명조" w:cs="HY신명조"/>
        </w:rPr>
        <w:t>Comovements</w:t>
      </w:r>
      <w:proofErr w:type="spellEnd"/>
      <w:r>
        <w:rPr>
          <w:rFonts w:ascii="HY신명조" w:eastAsia="HY신명조" w:cs="HY신명조"/>
        </w:rPr>
        <w:t>," Journal of Finance, 51, pp.951-986.</w:t>
      </w:r>
      <w:proofErr w:type="gramEnd"/>
    </w:p>
    <w:p w:rsidR="00A44840" w:rsidRDefault="00D35F5E">
      <w:pPr>
        <w:pStyle w:val="af2"/>
        <w:spacing w:line="249" w:lineRule="auto"/>
        <w:rPr>
          <w:rFonts w:ascii="HY신명조" w:eastAsia="HY신명조" w:cs="HY신명조"/>
        </w:rPr>
      </w:pPr>
      <w:r>
        <w:rPr>
          <w:rFonts w:ascii="HY신명조" w:eastAsia="HY신명조" w:cs="HY신명조"/>
        </w:rPr>
        <w:t>Kim, Suk-</w:t>
      </w:r>
      <w:proofErr w:type="spellStart"/>
      <w:proofErr w:type="gramStart"/>
      <w:r>
        <w:rPr>
          <w:rFonts w:ascii="HY신명조" w:eastAsia="HY신명조" w:cs="HY신명조"/>
        </w:rPr>
        <w:t>Joong</w:t>
      </w:r>
      <w:proofErr w:type="spellEnd"/>
      <w:r>
        <w:rPr>
          <w:rFonts w:ascii="HY신명조" w:eastAsia="HY신명조" w:cs="HY신명조"/>
        </w:rPr>
        <w:t>(</w:t>
      </w:r>
      <w:proofErr w:type="gramEnd"/>
      <w:r>
        <w:rPr>
          <w:rFonts w:ascii="HY신명조" w:eastAsia="HY신명조" w:cs="HY신명조"/>
        </w:rPr>
        <w:t>2003), "The Spillover Effects of U.S. and Japanese Public Information News in Advanced Asia-Pacific Stock Markets," Pacific Basin Finance Journal, 11, pp.611-630.</w:t>
      </w:r>
    </w:p>
    <w:p w:rsidR="00A44840" w:rsidRDefault="00D35F5E">
      <w:pPr>
        <w:pStyle w:val="af2"/>
        <w:spacing w:line="249" w:lineRule="auto"/>
        <w:rPr>
          <w:rFonts w:ascii="HY신명조" w:eastAsia="HY신명조" w:cs="HY신명조"/>
        </w:rPr>
      </w:pPr>
      <w:r>
        <w:rPr>
          <w:rFonts w:ascii="HY신명조" w:eastAsia="HY신명조" w:cs="HY신명조"/>
        </w:rPr>
        <w:t xml:space="preserve">Lin, W., R. Engle &amp; K. </w:t>
      </w:r>
      <w:proofErr w:type="gramStart"/>
      <w:r>
        <w:rPr>
          <w:rFonts w:ascii="HY신명조" w:eastAsia="HY신명조" w:cs="HY신명조"/>
        </w:rPr>
        <w:t>Ito(</w:t>
      </w:r>
      <w:proofErr w:type="gramEnd"/>
      <w:r>
        <w:rPr>
          <w:rFonts w:ascii="HY신명조" w:eastAsia="HY신명조" w:cs="HY신명조"/>
        </w:rPr>
        <w:t>1994), "Do Bulls and Bears Move Across Borders? : International Transmission of Stock Returns and Volatility," Review of Financial Studies, 7, pp.507-538.</w:t>
      </w:r>
    </w:p>
    <w:p w:rsidR="00A44840" w:rsidRDefault="00D35F5E">
      <w:pPr>
        <w:pStyle w:val="af2"/>
        <w:spacing w:line="249" w:lineRule="auto"/>
        <w:rPr>
          <w:rFonts w:ascii="HY신명조" w:eastAsia="HY신명조" w:cs="HY신명조"/>
        </w:rPr>
      </w:pPr>
      <w:r>
        <w:rPr>
          <w:rFonts w:ascii="HY신명조" w:eastAsia="HY신명조" w:cs="HY신명조"/>
        </w:rPr>
        <w:t xml:space="preserve">Liu, Y. A. &amp; M. S. </w:t>
      </w:r>
      <w:proofErr w:type="gramStart"/>
      <w:r>
        <w:rPr>
          <w:rFonts w:ascii="HY신명조" w:eastAsia="HY신명조" w:cs="HY신명조"/>
        </w:rPr>
        <w:t>Pan(</w:t>
      </w:r>
      <w:proofErr w:type="gramEnd"/>
      <w:r>
        <w:rPr>
          <w:rFonts w:ascii="HY신명조" w:eastAsia="HY신명조" w:cs="HY신명조"/>
        </w:rPr>
        <w:t>1997), "Mean and Volatility Spillover Effects in the U.S. and Pacific-Basin Stock Markets," Multinational Finance Journal, 1, pp.47-62.</w:t>
      </w:r>
    </w:p>
    <w:p w:rsidR="00A44840" w:rsidRDefault="00D35F5E">
      <w:pPr>
        <w:pStyle w:val="af2"/>
        <w:spacing w:line="249" w:lineRule="auto"/>
        <w:rPr>
          <w:rFonts w:ascii="HY신명조" w:eastAsia="HY신명조" w:cs="HY신명조"/>
        </w:rPr>
      </w:pPr>
      <w:r>
        <w:rPr>
          <w:rFonts w:ascii="HY신명조" w:eastAsia="HY신명조" w:cs="HY신명조"/>
        </w:rPr>
        <w:t>Ng, A</w:t>
      </w:r>
      <w:proofErr w:type="gramStart"/>
      <w:r>
        <w:rPr>
          <w:rFonts w:ascii="HY신명조" w:eastAsia="HY신명조" w:cs="HY신명조"/>
        </w:rPr>
        <w:t>.(</w:t>
      </w:r>
      <w:proofErr w:type="gramEnd"/>
      <w:r>
        <w:rPr>
          <w:rFonts w:ascii="HY신명조" w:eastAsia="HY신명조" w:cs="HY신명조"/>
        </w:rPr>
        <w:t>2000), "Volatility Spillover Effects from Japan and the US to the Pacific-Basin," Journal of International Money and Finance, 19, pp.207-233.</w:t>
      </w:r>
    </w:p>
    <w:p w:rsidR="00A44840" w:rsidRDefault="00D35F5E">
      <w:pPr>
        <w:pStyle w:val="af2"/>
        <w:spacing w:line="249" w:lineRule="auto"/>
        <w:rPr>
          <w:rFonts w:ascii="HY신명조" w:eastAsia="HY신명조" w:cs="HY신명조"/>
        </w:rPr>
      </w:pPr>
      <w:r>
        <w:rPr>
          <w:rFonts w:ascii="HY신명조" w:eastAsia="HY신명조" w:cs="HY신명조"/>
        </w:rPr>
        <w:t xml:space="preserve">Park, C. W. &amp; A. C. </w:t>
      </w:r>
      <w:proofErr w:type="gramStart"/>
      <w:r>
        <w:rPr>
          <w:rFonts w:ascii="HY신명조" w:eastAsia="HY신명조" w:cs="HY신명조"/>
        </w:rPr>
        <w:t>Yi(</w:t>
      </w:r>
      <w:proofErr w:type="gramEnd"/>
      <w:r>
        <w:rPr>
          <w:rFonts w:ascii="HY신명조" w:eastAsia="HY신명조" w:cs="HY신명조"/>
        </w:rPr>
        <w:t xml:space="preserve">2011), </w:t>
      </w:r>
      <w:r>
        <w:rPr>
          <w:rFonts w:ascii="HY신명조" w:eastAsia="HY신명조" w:cs="HY신명조"/>
        </w:rPr>
        <w:t>“</w:t>
      </w:r>
      <w:r>
        <w:rPr>
          <w:rFonts w:ascii="HY신명조" w:eastAsia="HY신명조" w:cs="HY신명조"/>
        </w:rPr>
        <w:t xml:space="preserve">Mispricing of US Shocks in the Korean Stock </w:t>
      </w:r>
      <w:proofErr w:type="spellStart"/>
      <w:r>
        <w:rPr>
          <w:rFonts w:ascii="HY신명조" w:eastAsia="HY신명조" w:cs="HY신명조"/>
        </w:rPr>
        <w:t>Market,</w:t>
      </w:r>
      <w:r>
        <w:rPr>
          <w:rFonts w:ascii="HY신명조" w:eastAsia="HY신명조" w:cs="HY신명조"/>
        </w:rPr>
        <w:t>”</w:t>
      </w:r>
      <w:r>
        <w:rPr>
          <w:rFonts w:ascii="HY신명조" w:eastAsia="HY신명조" w:cs="HY신명조"/>
        </w:rPr>
        <w:t>Asia</w:t>
      </w:r>
      <w:proofErr w:type="spellEnd"/>
      <w:r>
        <w:rPr>
          <w:rFonts w:ascii="HY신명조" w:eastAsia="HY신명조" w:cs="HY신명조"/>
        </w:rPr>
        <w:t>-Pacific Journal of Financial Studies, 40, pp.347-376.</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Phylaktis</w:t>
      </w:r>
      <w:proofErr w:type="spellEnd"/>
      <w:r>
        <w:rPr>
          <w:rFonts w:ascii="HY신명조" w:eastAsia="HY신명조" w:cs="HY신명조"/>
        </w:rPr>
        <w:t xml:space="preserve">, K, &amp; L. </w:t>
      </w:r>
      <w:proofErr w:type="gramStart"/>
      <w:r>
        <w:rPr>
          <w:rFonts w:ascii="HY신명조" w:eastAsia="HY신명조" w:cs="HY신명조"/>
        </w:rPr>
        <w:t>Xia(</w:t>
      </w:r>
      <w:proofErr w:type="gramEnd"/>
      <w:r>
        <w:rPr>
          <w:rFonts w:ascii="HY신명조" w:eastAsia="HY신명조" w:cs="HY신명조"/>
        </w:rPr>
        <w:t xml:space="preserve">2005), "Equity Market </w:t>
      </w:r>
      <w:proofErr w:type="spellStart"/>
      <w:r>
        <w:rPr>
          <w:rFonts w:ascii="HY신명조" w:eastAsia="HY신명조" w:cs="HY신명조"/>
        </w:rPr>
        <w:t>Comovement</w:t>
      </w:r>
      <w:proofErr w:type="spellEnd"/>
      <w:r>
        <w:rPr>
          <w:rFonts w:ascii="HY신명조" w:eastAsia="HY신명조" w:cs="HY신명조"/>
        </w:rPr>
        <w:t xml:space="preserve"> and Contagion: A </w:t>
      </w:r>
      <w:proofErr w:type="spellStart"/>
      <w:r>
        <w:rPr>
          <w:rFonts w:ascii="HY신명조" w:eastAsia="HY신명조" w:cs="HY신명조"/>
        </w:rPr>
        <w:t>Sectoral</w:t>
      </w:r>
      <w:proofErr w:type="spellEnd"/>
      <w:r>
        <w:rPr>
          <w:rFonts w:ascii="HY신명조" w:eastAsia="HY신명조" w:cs="HY신명조"/>
        </w:rPr>
        <w:t xml:space="preserve"> Perspective," Financial Management, Summer, pp.381-409.</w:t>
      </w:r>
    </w:p>
    <w:p w:rsidR="00A44840" w:rsidRDefault="00D35F5E">
      <w:pPr>
        <w:pStyle w:val="af2"/>
        <w:spacing w:line="249" w:lineRule="auto"/>
        <w:rPr>
          <w:rFonts w:ascii="HY신명조" w:eastAsia="HY신명조" w:cs="HY신명조"/>
        </w:rPr>
      </w:pPr>
      <w:proofErr w:type="spellStart"/>
      <w:r>
        <w:rPr>
          <w:rFonts w:ascii="HY신명조" w:eastAsia="HY신명조" w:cs="HY신명조"/>
        </w:rPr>
        <w:t>Susmel</w:t>
      </w:r>
      <w:proofErr w:type="spellEnd"/>
      <w:r>
        <w:rPr>
          <w:rFonts w:ascii="HY신명조" w:eastAsia="HY신명조" w:cs="HY신명조"/>
        </w:rPr>
        <w:t xml:space="preserve">, P. &amp; R. F. </w:t>
      </w:r>
      <w:proofErr w:type="gramStart"/>
      <w:r>
        <w:rPr>
          <w:rFonts w:ascii="HY신명조" w:eastAsia="HY신명조" w:cs="HY신명조"/>
        </w:rPr>
        <w:t>Engle(</w:t>
      </w:r>
      <w:proofErr w:type="gramEnd"/>
      <w:r>
        <w:rPr>
          <w:rFonts w:ascii="HY신명조" w:eastAsia="HY신명조" w:cs="HY신명조"/>
        </w:rPr>
        <w:t>1994), "Hourly Volatility Spillovers between International Equity Markets," Journal of International Money and Finance, 13, pp.3-25.</w:t>
      </w:r>
    </w:p>
    <w:p w:rsidR="00A44840" w:rsidRDefault="00D35F5E">
      <w:r>
        <w:br w:type="page"/>
      </w:r>
    </w:p>
    <w:p w:rsidR="00A44840" w:rsidRDefault="00A44840">
      <w:pPr>
        <w:pStyle w:val="ac"/>
      </w:pPr>
    </w:p>
    <w:p w:rsidR="00A44840" w:rsidRDefault="004E4790">
      <w:r>
        <w:rPr>
          <w:noProof/>
        </w:rPr>
      </w:r>
      <w:r w:rsidR="003D65C8">
        <w:rPr>
          <w:noProof/>
        </w:rPr>
        <w:pict>
          <v:rect id="_x0000_s1113894788" o:spid="_x0000_s1030"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du1swIAAK4FAAAOAAAAZHJzL2Uyb0RvYy54bWysVF1vmzAUfZ+0/2D5nYIpSQCVVG0I06Ru&#10;q9TtuXLABGtgI9sN6ar9912bkCbdy7SNB3RtX5/7cY7v1fW+a9GOKc2lyDC5CDBiopQVF9sMf/ta&#10;eDFG2lBR0VYKluFnpvH18v27q6FPWSgb2VZMIQAROh36DDfG9Knv67JhHdUXsmcCDmupOmpgqbZ+&#10;pegA6F3rh0Ew9wepql7JkmkNu/l4iJcOv65Zab7UtWYGtRmG3Iz7K/ff2L+/vKLpVtG+4eUhDfoX&#10;WXSUCwh6hMqpoehJ8d+gOl4qqWVtLkrZ+bKueclcDVANCd5U89DQnrlaoDm6P7ZJ/z/Y8vPuXiFe&#10;AXchRoJ2wNHjPoDvURNCLuMkWsSxbdPQ6xS8H/p7ZQvV/Z0sv2sk5KqhYstulJJDw2gFyRHr759d&#10;sAsNV9Fm+CQrCEKfjHQd29eqs4DQC7R3xDwfiWF7g0rYnJMwWMxnGJVwFpNoEcxcCJpOt3ulzQcm&#10;O2SNDCsg3qHT3Z02NhuaTi42mJAFb1tHfivONsBx3IHYcNWe2Swcly9JkKzjdRx5UThfe1GQ595N&#10;sYq8eUEWs/wyX61y8tPGJVHa8KpiwoaZdEWiP+PtoPBREUdladnyysLZlLTablatQjsKui7cd2jI&#10;iZt/noZrAtTypiQSRsFtmHjFPF54URHNvGQRxF5AkttkHkRJlBfnJd1xwf69JDRkOJmFM8fSSdJv&#10;arNKDNwzBWLO3DpuYHK0vANFHJ1oaiW4FpWj1lDejvZJK2z6r60A1IloJ1ir0VHrZr/Zjw/DhbcC&#10;3sjqGSSsJCgMhgmMPTAaqX5gNMAIybCAGYdR+1HAI7DTZjLUZGwmg4oSLmbYYDSaKzNOpade8W0D&#10;uGTsTH8DD6XgTsOvORyeFwwFV8phgNmpc7p2Xq9jdvkLAAD//wMAUEsDBBQABgAIAAAAIQAvBuMB&#10;1gAAAAUBAAAPAAAAZHJzL2Rvd25yZXYueG1sTI/NasMwEITvhbyD2EJvjdQcSnAth1IIpKWXOH0A&#10;xVr/UGnXSErsvH2UUmgvyw6zzH5TbmbvxBlDHJg0PC0VCKSG7UCdhq/D9nENIiZD1jgm1HDBCJtq&#10;cVeawvJEezzXqRM5hGJhNPQpjYWUsenRm7jkESl7LQdvUpahkzaYKYd7J1dKPUtvBsofejPiW4/N&#10;d33yGuSh3k7r2gXFH6v2073v9i2y1g/38+sLiIRz+juGG35GhyozHflENgqnIRdJP/PmKZXl8XeR&#10;VSn/01dXAAAA//8DAFBLAQItABQABgAIAAAAIQC2gziS/gAAAOEBAAATAAAAAAAAAAAAAAAAAAAA&#10;AABbQ29udGVudF9UeXBlc10ueG1sUEsBAi0AFAAGAAgAAAAhADj9If/WAAAAlAEAAAsAAAAAAAAA&#10;AAAAAAAALwEAAF9yZWxzLy5yZWxzUEsBAi0AFAAGAAgAAAAhADg927WzAgAArgUAAA4AAAAAAAAA&#10;AAAAAAAALgIAAGRycy9lMm9Eb2MueG1sUEsBAi0AFAAGAAgAAAAhAC8G4wHWAAAABQEAAA8AAAAA&#10;AAAAAAAAAAAADQUAAGRycy9kb3ducmV2LnhtbFBLBQYAAAAABAAEAPMAAAAQBgAAAAA=&#10;" filled="f" stroked="f">
            <v:textbox style="mso-fit-shape-to-text:t" inset="0,0,0,0">
              <w:txbxContent>
                <w:p w:rsidR="006B03CF" w:rsidRDefault="006B03CF">
                  <w:pPr>
                    <w:pStyle w:val="af1"/>
                  </w:pPr>
                  <w:r>
                    <w:t>&lt;Appendix A&gt; Average return and stand deviation for the KOSPI</w:t>
                  </w:r>
                  <w:r>
                    <w:rPr>
                      <w:rFonts w:hint="eastAsia"/>
                    </w:rPr>
                    <w:t xml:space="preserve"> </w:t>
                  </w:r>
                  <w:r>
                    <w:t>200 cash market</w:t>
                  </w:r>
                </w:p>
                <w:p w:rsidR="006B03CF" w:rsidRDefault="006B03CF">
                  <w:pPr>
                    <w:pStyle w:val="a8"/>
                    <w:spacing w:line="240" w:lineRule="auto"/>
                    <w:ind w:firstLine="0"/>
                  </w:pPr>
                  <w:r>
                    <w:rPr>
                      <w:spacing w:val="5"/>
                      <w:sz w:val="18"/>
                      <w:szCs w:val="18"/>
                    </w:rPr>
                    <w:t xml:space="preserve">The </w:t>
                  </w:r>
                  <w:r>
                    <w:rPr>
                      <w:rFonts w:hint="eastAsia"/>
                      <w:spacing w:val="5"/>
                      <w:sz w:val="18"/>
                      <w:szCs w:val="18"/>
                    </w:rPr>
                    <w:t xml:space="preserve">entire </w:t>
                  </w:r>
                  <w:r>
                    <w:rPr>
                      <w:spacing w:val="5"/>
                      <w:sz w:val="18"/>
                      <w:szCs w:val="18"/>
                    </w:rPr>
                    <w:t>period is 2,891 days from January 2, 2001 to August 31, 2012. The sub</w:t>
                  </w:r>
                  <w:r>
                    <w:rPr>
                      <w:rFonts w:hint="eastAsia"/>
                      <w:spacing w:val="5"/>
                      <w:sz w:val="18"/>
                      <w:szCs w:val="18"/>
                    </w:rPr>
                    <w:t>-</w:t>
                  </w:r>
                  <w:r>
                    <w:rPr>
                      <w:spacing w:val="5"/>
                      <w:sz w:val="18"/>
                      <w:szCs w:val="18"/>
                    </w:rPr>
                    <w:t>period before the crisis is 1,626 days from January 2</w:t>
                  </w:r>
                  <w:proofErr w:type="gramStart"/>
                  <w:r>
                    <w:rPr>
                      <w:spacing w:val="5"/>
                      <w:sz w:val="18"/>
                      <w:szCs w:val="18"/>
                    </w:rPr>
                    <w:t>,</w:t>
                  </w:r>
                  <w:r>
                    <w:rPr>
                      <w:rFonts w:hint="eastAsia"/>
                      <w:spacing w:val="5"/>
                      <w:sz w:val="18"/>
                      <w:szCs w:val="18"/>
                    </w:rPr>
                    <w:t>2</w:t>
                  </w:r>
                  <w:r>
                    <w:rPr>
                      <w:spacing w:val="5"/>
                      <w:sz w:val="18"/>
                      <w:szCs w:val="18"/>
                    </w:rPr>
                    <w:t>001</w:t>
                  </w:r>
                  <w:proofErr w:type="gramEnd"/>
                  <w:r>
                    <w:rPr>
                      <w:spacing w:val="5"/>
                      <w:sz w:val="18"/>
                      <w:szCs w:val="18"/>
                    </w:rPr>
                    <w:t xml:space="preserve"> to July 31, 2007. The sub</w:t>
                  </w:r>
                  <w:r>
                    <w:rPr>
                      <w:rFonts w:hint="eastAsia"/>
                      <w:spacing w:val="5"/>
                      <w:sz w:val="18"/>
                      <w:szCs w:val="18"/>
                    </w:rPr>
                    <w:t>-</w:t>
                  </w:r>
                  <w:r>
                    <w:rPr>
                      <w:spacing w:val="5"/>
                      <w:sz w:val="18"/>
                      <w:szCs w:val="18"/>
                    </w:rPr>
                    <w:t>period after the crisis is 1,265 days from August 1, 2007 to August 31,</w:t>
                  </w:r>
                  <w:r>
                    <w:rPr>
                      <w:rFonts w:hint="eastAsia"/>
                      <w:spacing w:val="5"/>
                      <w:sz w:val="18"/>
                      <w:szCs w:val="18"/>
                    </w:rPr>
                    <w:t xml:space="preserve"> </w:t>
                  </w:r>
                  <w:r>
                    <w:rPr>
                      <w:spacing w:val="5"/>
                      <w:sz w:val="18"/>
                      <w:szCs w:val="18"/>
                    </w:rPr>
                    <w:t xml:space="preserve">2012.  * denotes </w:t>
                  </w:r>
                  <w:r>
                    <w:rPr>
                      <w:rFonts w:hint="eastAsia"/>
                      <w:spacing w:val="5"/>
                      <w:sz w:val="18"/>
                      <w:szCs w:val="18"/>
                    </w:rPr>
                    <w:t>a</w:t>
                  </w:r>
                  <w:r>
                    <w:rPr>
                      <w:spacing w:val="5"/>
                      <w:sz w:val="18"/>
                      <w:szCs w:val="18"/>
                    </w:rPr>
                    <w:t xml:space="preserve"> 5% significance level</w:t>
                  </w:r>
                  <w:r>
                    <w:rPr>
                      <w:rFonts w:hint="eastAsia"/>
                      <w:spacing w:val="5"/>
                      <w:sz w:val="18"/>
                      <w:szCs w:val="18"/>
                    </w:rPr>
                    <w:t xml:space="preserve"> </w:t>
                  </w:r>
                  <w:proofErr w:type="gramStart"/>
                  <w:r>
                    <w:rPr>
                      <w:rFonts w:hint="eastAsia"/>
                      <w:spacing w:val="5"/>
                      <w:sz w:val="18"/>
                      <w:szCs w:val="18"/>
                    </w:rPr>
                    <w:t>and</w:t>
                  </w:r>
                  <w:r>
                    <w:rPr>
                      <w:spacing w:val="5"/>
                      <w:sz w:val="18"/>
                      <w:szCs w:val="18"/>
                    </w:rPr>
                    <w:t xml:space="preserve">  *</w:t>
                  </w:r>
                  <w:proofErr w:type="gramEnd"/>
                  <w:r>
                    <w:rPr>
                      <w:spacing w:val="5"/>
                      <w:sz w:val="18"/>
                      <w:szCs w:val="18"/>
                    </w:rPr>
                    <w:t xml:space="preserve">* denotes </w:t>
                  </w:r>
                  <w:r>
                    <w:rPr>
                      <w:rFonts w:hint="eastAsia"/>
                      <w:spacing w:val="5"/>
                      <w:sz w:val="18"/>
                      <w:szCs w:val="18"/>
                    </w:rPr>
                    <w:t>a</w:t>
                  </w:r>
                  <w:r>
                    <w:rPr>
                      <w:spacing w:val="5"/>
                      <w:sz w:val="18"/>
                      <w:szCs w:val="18"/>
                    </w:rPr>
                    <w:t xml:space="preserve"> 1% significance level. S.D. is </w:t>
                  </w:r>
                  <w:r>
                    <w:rPr>
                      <w:rFonts w:hint="eastAsia"/>
                      <w:spacing w:val="5"/>
                      <w:sz w:val="18"/>
                      <w:szCs w:val="18"/>
                    </w:rPr>
                    <w:t xml:space="preserve">the </w:t>
                  </w:r>
                  <w:r>
                    <w:rPr>
                      <w:spacing w:val="5"/>
                      <w:sz w:val="18"/>
                      <w:szCs w:val="18"/>
                    </w:rPr>
                    <w:t>standard deviation.</w:t>
                  </w: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963"/>
        <w:gridCol w:w="1266"/>
        <w:gridCol w:w="1134"/>
        <w:gridCol w:w="1275"/>
        <w:gridCol w:w="1418"/>
        <w:gridCol w:w="1559"/>
        <w:gridCol w:w="1843"/>
      </w:tblGrid>
      <w:tr w:rsidR="00A44840" w:rsidTr="00172D02">
        <w:trPr>
          <w:trHeight w:val="340"/>
        </w:trPr>
        <w:tc>
          <w:tcPr>
            <w:tcW w:w="963"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cash</w:t>
            </w:r>
          </w:p>
        </w:tc>
        <w:tc>
          <w:tcPr>
            <w:tcW w:w="2400" w:type="dxa"/>
            <w:gridSpan w:val="2"/>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E64E10">
            <w:pPr>
              <w:pStyle w:val="af0"/>
            </w:pPr>
            <w:r>
              <w:rPr>
                <w:rFonts w:hint="eastAsia"/>
              </w:rPr>
              <w:t xml:space="preserve">entire </w:t>
            </w:r>
            <w:r w:rsidR="00D35F5E">
              <w:t>period</w:t>
            </w:r>
          </w:p>
        </w:tc>
        <w:tc>
          <w:tcPr>
            <w:tcW w:w="2693" w:type="dxa"/>
            <w:gridSpan w:val="2"/>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E64E10">
            <w:pPr>
              <w:pStyle w:val="af0"/>
            </w:pPr>
            <w:r>
              <w:rPr>
                <w:rFonts w:hint="eastAsia"/>
              </w:rPr>
              <w:t>pre-</w:t>
            </w:r>
            <w:r w:rsidR="00D35F5E">
              <w:t xml:space="preserve">crisis　</w:t>
            </w:r>
          </w:p>
        </w:tc>
        <w:tc>
          <w:tcPr>
            <w:tcW w:w="3402" w:type="dxa"/>
            <w:gridSpan w:val="2"/>
            <w:tcBorders>
              <w:top w:val="single" w:sz="3" w:space="0" w:color="000000"/>
              <w:left w:val="none" w:sz="0" w:space="0" w:color="000000"/>
              <w:bottom w:val="none" w:sz="0" w:space="0" w:color="000000"/>
              <w:right w:val="none" w:sz="0" w:space="0" w:color="000000"/>
              <w:tl2br w:val="nil"/>
              <w:tr2bl w:val="nil"/>
            </w:tcBorders>
            <w:vAlign w:val="center"/>
          </w:tcPr>
          <w:p w:rsidR="00A44840" w:rsidRDefault="00E64E10">
            <w:pPr>
              <w:pStyle w:val="af0"/>
            </w:pPr>
            <w:r>
              <w:rPr>
                <w:rFonts w:hint="eastAsia"/>
              </w:rPr>
              <w:t>post-</w:t>
            </w:r>
            <w:r w:rsidR="00D35F5E">
              <w:t>crisis</w:t>
            </w:r>
          </w:p>
        </w:tc>
      </w:tr>
      <w:tr w:rsidR="00A44840" w:rsidTr="00172D02">
        <w:trPr>
          <w:trHeight w:val="340"/>
        </w:trPr>
        <w:tc>
          <w:tcPr>
            <w:tcW w:w="963"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time</w:t>
            </w:r>
          </w:p>
        </w:tc>
        <w:tc>
          <w:tcPr>
            <w:tcW w:w="1266"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134"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1275"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418"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1559"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843"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0.0625**</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1.1684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0.0725**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1.1080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0.0498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1.2420</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0.0187</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1.2209</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0.0201</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1.1804</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1.2714</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0.0268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1.2554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0.0376</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1.1942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0.0130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1.3304</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0.0322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1.2531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0.0440</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1.1990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0.0169</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1.3197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0.0330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1.2792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0.0547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1.2253</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0.0051</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1.3453</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0.0331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1.2975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0.0605*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1.2430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-0.0021</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1.3640</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0.0250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1.3175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0.0581</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1.2658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-0.0177</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1.3805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0.0178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1.3331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0.0543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1.2848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-0.0291</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1.3919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1.3665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0.0453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1.3166</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-0.0210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1.4277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0.0121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1.3819</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0.0448</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1.3340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-0.0299</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1.4406</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0.0112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1.3935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0.0459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1.3632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-0.0334</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1.4307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0.0031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1.4113</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0.0394</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1.3711</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-0.0436</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1.4606</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-0.0074</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1.4248</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0.0314</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1.3830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-0.0572</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1.4758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-0.0208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1.4490</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0.0220</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1.4063</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-0.0757</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1.5007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-0.0190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1.4677</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0.0202</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1.4351</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-0.0693</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1.5076</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1.4862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1.4580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-0.0587</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1.5212</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-0.0107</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1.5131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0.0277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1.4749</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-0.0600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1.5599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-0.0211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1.5458</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0.0185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1.5017</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-0.0719</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1.5997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-0.0202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1.5601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0.0127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1.5109</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-0.0625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1.6207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-0.0112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1.5654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0.0187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1.5295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-0.0496</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1.6100</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-0.0059</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1.5836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0.0217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1.5558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-0.0414</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1.6186</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-0.0053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1.6223</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0.0225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1.5826</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-0.0409</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1.6718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0.0080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1.6422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0.0306</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1.6230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-0.0211</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1.6667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0.0271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1.6756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0.0493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1.6421</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-0.0013</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1.7178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0.0452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1.6824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0.0719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1.6538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0.0108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1.7185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15:00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0.0465</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1.7024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0.0810</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1.6827</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0.0020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1.7270</w:t>
            </w:r>
          </w:p>
        </w:tc>
      </w:tr>
      <w:tr w:rsidR="00A44840" w:rsidTr="00172D02">
        <w:trPr>
          <w:trHeight w:val="340"/>
        </w:trPr>
        <w:tc>
          <w:tcPr>
            <w:tcW w:w="963"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day</w:t>
            </w:r>
          </w:p>
        </w:tc>
        <w:tc>
          <w:tcPr>
            <w:tcW w:w="1266"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-0.0161</w:t>
            </w:r>
          </w:p>
        </w:tc>
        <w:tc>
          <w:tcPr>
            <w:tcW w:w="1134"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1.3026</w:t>
            </w:r>
          </w:p>
        </w:tc>
        <w:tc>
          <w:tcPr>
            <w:tcW w:w="1275"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0.0086</w:t>
            </w:r>
          </w:p>
        </w:tc>
        <w:tc>
          <w:tcPr>
            <w:tcW w:w="1418"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1.3060</w:t>
            </w:r>
          </w:p>
        </w:tc>
        <w:tc>
          <w:tcPr>
            <w:tcW w:w="1559"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-0.0477</w:t>
            </w:r>
          </w:p>
        </w:tc>
        <w:tc>
          <w:tcPr>
            <w:tcW w:w="1843" w:type="dxa"/>
            <w:tcBorders>
              <w:top w:val="single" w:sz="3"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1.2981</w:t>
            </w:r>
          </w:p>
        </w:tc>
      </w:tr>
      <w:tr w:rsidR="00A44840" w:rsidTr="00172D02">
        <w:trPr>
          <w:trHeight w:val="340"/>
        </w:trPr>
        <w:tc>
          <w:tcPr>
            <w:tcW w:w="963"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futures</w:t>
            </w:r>
          </w:p>
        </w:tc>
        <w:tc>
          <w:tcPr>
            <w:tcW w:w="2400" w:type="dxa"/>
            <w:gridSpan w:val="2"/>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E64E10">
            <w:pPr>
              <w:pStyle w:val="af0"/>
            </w:pPr>
            <w:r>
              <w:rPr>
                <w:rFonts w:hint="eastAsia"/>
              </w:rPr>
              <w:t>entire</w:t>
            </w:r>
            <w:r>
              <w:t xml:space="preserve"> </w:t>
            </w:r>
            <w:r w:rsidR="00D35F5E">
              <w:t>period</w:t>
            </w:r>
          </w:p>
        </w:tc>
        <w:tc>
          <w:tcPr>
            <w:tcW w:w="2693" w:type="dxa"/>
            <w:gridSpan w:val="2"/>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E64E10">
            <w:pPr>
              <w:pStyle w:val="af0"/>
            </w:pPr>
            <w:r>
              <w:rPr>
                <w:rFonts w:hint="eastAsia"/>
              </w:rPr>
              <w:t>pre-</w:t>
            </w:r>
            <w:r w:rsidR="00D35F5E">
              <w:t xml:space="preserve">crisis　</w:t>
            </w:r>
          </w:p>
        </w:tc>
        <w:tc>
          <w:tcPr>
            <w:tcW w:w="3402" w:type="dxa"/>
            <w:gridSpan w:val="2"/>
            <w:tcBorders>
              <w:top w:val="double" w:sz="15" w:space="0" w:color="000000"/>
              <w:left w:val="none" w:sz="0" w:space="0" w:color="000000"/>
              <w:bottom w:val="single" w:sz="3" w:space="0" w:color="000000"/>
              <w:right w:val="none" w:sz="0" w:space="0" w:color="000000"/>
              <w:tl2br w:val="nil"/>
              <w:tr2bl w:val="nil"/>
            </w:tcBorders>
            <w:vAlign w:val="center"/>
          </w:tcPr>
          <w:p w:rsidR="00A44840" w:rsidRDefault="00E64E10">
            <w:pPr>
              <w:pStyle w:val="af0"/>
            </w:pPr>
            <w:r>
              <w:rPr>
                <w:rFonts w:hint="eastAsia"/>
              </w:rPr>
              <w:t>post-</w:t>
            </w:r>
            <w:r w:rsidR="00D35F5E">
              <w:t>crisis</w:t>
            </w:r>
          </w:p>
        </w:tc>
      </w:tr>
      <w:tr w:rsidR="00A44840" w:rsidTr="00172D02">
        <w:trPr>
          <w:trHeight w:val="340"/>
        </w:trPr>
        <w:tc>
          <w:tcPr>
            <w:tcW w:w="963"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time</w:t>
            </w:r>
          </w:p>
        </w:tc>
        <w:tc>
          <w:tcPr>
            <w:tcW w:w="1266"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134"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1275"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418"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1559"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1843"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0.0563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1.7309</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0.0586</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1.2395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0.0534</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2.2079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0.0464</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1.7959</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0.0569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1.3417</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0.0330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2.2493</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0.0587</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1.8262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0.0790*</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1.3696</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0.0326</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2.2831</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0.0672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1.8352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0.0864*</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1.4038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0.0425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2.2728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0.0680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1.8595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0.0941**</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1.4408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0.0345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2.2879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0.0708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1.8656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0.0995**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1.4565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0.0338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2.2865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0.0604</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1.8851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0.0927*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1.4788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0.0188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2.3045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0.0552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1.8935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0.0906*</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1.4975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0.0098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2.3045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0.0556</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1.9145</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0.0865*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1.5021</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0.0158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2.3403</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0.0530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1.9226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0.0839*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1.5202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0.0132</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2.3403</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0.0524</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1.9371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0.0866*</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1.5452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0.0085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2.3466</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0.0463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1.9552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0.0775*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1.5613</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0.0062</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2.3672</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0.0362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1.9623</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0.0687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1.5725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-0.0055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2.3711</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0.0270</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1.9741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0.0619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1.5855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-0.0179</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2.3822</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0.0315</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1.9936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0.0633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1.6090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-0.0094</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2.3991</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0.0328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2.0046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0.0572</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1.6304</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0.0016</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2.4019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0.0376</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2.0231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0.0667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1.6405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0.0000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2.4282</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0.0316</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2.0464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0.0637</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1.6650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-0.0095</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2.4511</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0.0308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2.0666</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0.0553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1.6790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-0.0007</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2.4778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0.0403</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2.0712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0.0609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1.7019</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0.0140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2.4665</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0.0447</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2.0898</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0.0629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1.7203</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0.0213</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2.4860</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0.0408</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2.1302</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0.0613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1.7491</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0.0143</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2.5378</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0.0555</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2.1358</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0.0723</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1.7790</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0.0340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2.5219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0.0591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2.1671</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0.0799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1.7975</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0.0322</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2.5657</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0.0502</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2.1747</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0.0785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1.7998</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0.0138</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2.5780</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0.0531</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2.1784</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0.0861</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1.8087</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0.0107</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2.5772</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0.0567</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2.1917</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0.0875</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1.8262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0.0172</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2.5869</w:t>
            </w:r>
          </w:p>
        </w:tc>
      </w:tr>
      <w:tr w:rsidR="00A44840" w:rsidTr="00172D02">
        <w:trPr>
          <w:trHeight w:val="340"/>
        </w:trPr>
        <w:tc>
          <w:tcPr>
            <w:tcW w:w="963"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15:15</w:t>
            </w:r>
          </w:p>
        </w:tc>
        <w:tc>
          <w:tcPr>
            <w:tcW w:w="1266"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0.0555</w:t>
            </w:r>
          </w:p>
        </w:tc>
        <w:tc>
          <w:tcPr>
            <w:tcW w:w="1134"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2.2110</w:t>
            </w:r>
          </w:p>
        </w:tc>
        <w:tc>
          <w:tcPr>
            <w:tcW w:w="1275"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0.0839</w:t>
            </w:r>
          </w:p>
        </w:tc>
        <w:tc>
          <w:tcPr>
            <w:tcW w:w="1418"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1.8452</w:t>
            </w:r>
          </w:p>
        </w:tc>
        <w:tc>
          <w:tcPr>
            <w:tcW w:w="1559"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0.0190</w:t>
            </w:r>
          </w:p>
        </w:tc>
        <w:tc>
          <w:tcPr>
            <w:tcW w:w="1843"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2.6073</w:t>
            </w:r>
          </w:p>
        </w:tc>
      </w:tr>
      <w:tr w:rsidR="00A44840" w:rsidTr="00172D02">
        <w:trPr>
          <w:trHeight w:val="340"/>
        </w:trPr>
        <w:tc>
          <w:tcPr>
            <w:tcW w:w="963"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day</w:t>
            </w:r>
          </w:p>
        </w:tc>
        <w:tc>
          <w:tcPr>
            <w:tcW w:w="1266"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-0.0008</w:t>
            </w:r>
          </w:p>
        </w:tc>
        <w:tc>
          <w:tcPr>
            <w:tcW w:w="1134"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1.3960</w:t>
            </w:r>
          </w:p>
        </w:tc>
        <w:tc>
          <w:tcPr>
            <w:tcW w:w="1275"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0.0253</w:t>
            </w:r>
          </w:p>
        </w:tc>
        <w:tc>
          <w:tcPr>
            <w:tcW w:w="1418"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1.4387</w:t>
            </w:r>
          </w:p>
        </w:tc>
        <w:tc>
          <w:tcPr>
            <w:tcW w:w="1559"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-0.0344</w:t>
            </w:r>
          </w:p>
        </w:tc>
        <w:tc>
          <w:tcPr>
            <w:tcW w:w="1843"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1.3389</w:t>
            </w:r>
          </w:p>
        </w:tc>
      </w:tr>
    </w:tbl>
    <w:p w:rsidR="00A44840" w:rsidRDefault="00A44840">
      <w:pPr>
        <w:rPr>
          <w:sz w:val="2"/>
        </w:rPr>
      </w:pPr>
    </w:p>
    <w:p w:rsidR="00A44840" w:rsidRDefault="00A44840">
      <w:pPr>
        <w:pStyle w:val="a8"/>
        <w:ind w:firstLine="0"/>
      </w:pPr>
    </w:p>
    <w:p w:rsidR="00A44840" w:rsidRDefault="004E4790">
      <w:r>
        <w:rPr>
          <w:noProof/>
        </w:rPr>
      </w:r>
      <w:r w:rsidR="003D65C8">
        <w:rPr>
          <w:noProof/>
        </w:rPr>
        <w:pict>
          <v:rect id="_x0000_s1113894789" o:spid="_x0000_s1029"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ZsatAIAAK8FAAAOAAAAZHJzL2Uyb0RvYy54bWysVF1vmzAUfZ+0/2D5nYIpSQCVVG0I06Ru&#10;q9TtuXLABGtgI9sN6ar9912bkCbdy7SNB3RtX5/7cY7v1fW+a9GOKc2lyDC5CDBiopQVF9sMf/ta&#10;eDFG2lBR0VYKluFnpvH18v27q6FPWSgb2VZMIQAROh36DDfG9Knv67JhHdUXsmcCDmupOmpgqbZ+&#10;pegA6F3rh0Ew9wepql7JkmkNu/l4iJcOv65Zab7UtWYGtRmG3Iz7K/ff2L+/vKLpVtG+4eUhDfoX&#10;WXSUCwh6hMqpoehJ8d+gOl4qqWVtLkrZ+bKueclcDVANCd5U89DQnrlaoDm6P7ZJ/z/Y8vPuXiFe&#10;AXcEI0E74OhxH8D3qAkhl3ESLeLEtmnodQreD/29soXq/k6W3zUSctVQsWU3SsmhYbSC5Ij1988u&#10;2IWGq2gzfJIVBKFPRrqO7WvVWUDoBdo7Yp6PxLC9QSVszkkYLOYzjEo4I1EUxGTmYtB0ut4rbT4w&#10;2SFrZFgB8w6e7u60senQdHKx0YQseNs69ltxtgGO4w4Eh6v2zKbhyHxJgmQdr+PIi8L52ouCPPdu&#10;ilXkzQuymOWX+WqVk582LonShlcVEzbMJCwS/RlxB4mPkjhKS8uWVxbOpqTVdrNqFdpREHbhvkND&#10;Ttz88zRcE6CWNyWRMApuw8Qr5vHCi4po5iWLIPYCktwm8yBKorw4L+mOC/bvJaEhw8ksnDmWTpJ+&#10;U5uVYuDeKRBz5tZxA6Oj5V2G46MTTa0G16Jy1BrK29E+aYVN/7UVgDoR7RRrRTqK3ew3++llAJpV&#10;8EZWz6BhJUFhME1g7oHRSPUDowFmSIYFDDmM2o8CXoEdN5OhJmMzGVSUcDHDBqPRXJlxLD31im8b&#10;wCVjZ/obeCkFdxp+zeHwvmAquFIOE8yOndO183qds8tfAAAA//8DAFBLAwQUAAYACAAAACEALwbj&#10;AdYAAAAFAQAADwAAAGRycy9kb3ducmV2LnhtbEyPzWrDMBCE74W8g9hCb43UHEpwLYdSCKSllzh9&#10;AMVa/1Bp10hK7Lx9lFJoL8sOs8x+U25m78QZQxyYNDwtFQikhu1AnYavw/ZxDSImQ9Y4JtRwwQib&#10;anFXmsLyRHs816kTOYRiYTT0KY2FlLHp0Zu45BEpey0Hb1KWoZM2mCmHeydXSj1LbwbKH3oz4luP&#10;zXd98hrkod5O69oFxR+r9tO97/YtstYP9/PrC4iEc/o7hht+RocqMx35RDYKpyEXST/z5imV5fF3&#10;kVUp/9NXVwAAAP//AwBQSwECLQAUAAYACAAAACEAtoM4kv4AAADhAQAAEwAAAAAAAAAAAAAAAAAA&#10;AAAAW0NvbnRlbnRfVHlwZXNdLnhtbFBLAQItABQABgAIAAAAIQA4/SH/1gAAAJQBAAALAAAAAAAA&#10;AAAAAAAAAC8BAABfcmVscy8ucmVsc1BLAQItABQABgAIAAAAIQBTAZsatAIAAK8FAAAOAAAAAAAA&#10;AAAAAAAAAC4CAABkcnMvZTJvRG9jLnhtbFBLAQItABQABgAIAAAAIQAvBuMB1gAAAAUBAAAPAAAA&#10;AAAAAAAAAAAAAA4FAABkcnMvZG93bnJldi54bWxQSwUGAAAAAAQABADzAAAAEQYAAAAA&#10;" filled="f" stroked="f">
            <v:textbox style="mso-fit-shape-to-text:t" inset="0,0,0,0">
              <w:txbxContent>
                <w:p w:rsidR="006B03CF" w:rsidRDefault="006B03CF">
                  <w:pPr>
                    <w:pStyle w:val="af1"/>
                  </w:pPr>
                </w:p>
                <w:p w:rsidR="006B03CF" w:rsidRDefault="006B03CF">
                  <w:pPr>
                    <w:pStyle w:val="af1"/>
                  </w:pPr>
                </w:p>
                <w:p w:rsidR="006B03CF" w:rsidRDefault="006B03CF">
                  <w:pPr>
                    <w:pStyle w:val="af1"/>
                  </w:pPr>
                  <w:r>
                    <w:t>&lt;Appendix B&gt; Trading volume ratio for each time interval</w:t>
                  </w:r>
                </w:p>
                <w:p w:rsidR="006B03CF" w:rsidRDefault="006B03CF">
                  <w:pPr>
                    <w:pStyle w:val="af1"/>
                  </w:pPr>
                  <w:r>
                    <w:rPr>
                      <w:rFonts w:hint="eastAsia"/>
                      <w:spacing w:val="5"/>
                      <w:sz w:val="18"/>
                      <w:szCs w:val="18"/>
                    </w:rPr>
                    <w:t>The t</w:t>
                  </w:r>
                  <w:r>
                    <w:rPr>
                      <w:spacing w:val="5"/>
                      <w:sz w:val="18"/>
                      <w:szCs w:val="18"/>
                    </w:rPr>
                    <w:t xml:space="preserve">rading volume for each time interval is the ratio of </w:t>
                  </w:r>
                  <w:r>
                    <w:rPr>
                      <w:rFonts w:hint="eastAsia"/>
                      <w:spacing w:val="5"/>
                      <w:sz w:val="18"/>
                      <w:szCs w:val="18"/>
                    </w:rPr>
                    <w:t xml:space="preserve">the </w:t>
                  </w:r>
                  <w:r>
                    <w:rPr>
                      <w:spacing w:val="5"/>
                      <w:sz w:val="18"/>
                      <w:szCs w:val="18"/>
                    </w:rPr>
                    <w:t>trading volume for each time interval over the total trading volume for the day.</w:t>
                  </w:r>
                  <w:r>
                    <w:t xml:space="preserve"> </w:t>
                  </w:r>
                  <w:r>
                    <w:rPr>
                      <w:spacing w:val="5"/>
                      <w:sz w:val="18"/>
                      <w:szCs w:val="18"/>
                    </w:rPr>
                    <w:t xml:space="preserve">The </w:t>
                  </w:r>
                  <w:r>
                    <w:rPr>
                      <w:rFonts w:hint="eastAsia"/>
                      <w:spacing w:val="5"/>
                      <w:sz w:val="18"/>
                      <w:szCs w:val="18"/>
                    </w:rPr>
                    <w:t>entire</w:t>
                  </w:r>
                  <w:r>
                    <w:rPr>
                      <w:spacing w:val="5"/>
                      <w:sz w:val="18"/>
                      <w:szCs w:val="18"/>
                    </w:rPr>
                    <w:t xml:space="preserve"> period is 2,891 days from January 2, 2001 to August 31, 2012.  The sub</w:t>
                  </w:r>
                  <w:r>
                    <w:rPr>
                      <w:rFonts w:hint="eastAsia"/>
                      <w:spacing w:val="5"/>
                      <w:sz w:val="18"/>
                      <w:szCs w:val="18"/>
                    </w:rPr>
                    <w:t>-</w:t>
                  </w:r>
                  <w:r>
                    <w:rPr>
                      <w:spacing w:val="5"/>
                      <w:sz w:val="18"/>
                      <w:szCs w:val="18"/>
                    </w:rPr>
                    <w:t>period before the crisis is 1,626 days from January 2,</w:t>
                  </w:r>
                  <w:r>
                    <w:rPr>
                      <w:rFonts w:hint="eastAsia"/>
                      <w:spacing w:val="5"/>
                      <w:sz w:val="18"/>
                      <w:szCs w:val="18"/>
                    </w:rPr>
                    <w:t xml:space="preserve"> 2</w:t>
                  </w:r>
                  <w:r>
                    <w:rPr>
                      <w:spacing w:val="5"/>
                      <w:sz w:val="18"/>
                      <w:szCs w:val="18"/>
                    </w:rPr>
                    <w:t>001 to July 31, 2007. The sub</w:t>
                  </w:r>
                  <w:r>
                    <w:rPr>
                      <w:rFonts w:hint="eastAsia"/>
                      <w:spacing w:val="5"/>
                      <w:sz w:val="18"/>
                      <w:szCs w:val="18"/>
                    </w:rPr>
                    <w:t>-</w:t>
                  </w:r>
                  <w:r>
                    <w:rPr>
                      <w:spacing w:val="5"/>
                      <w:sz w:val="18"/>
                      <w:szCs w:val="18"/>
                    </w:rPr>
                    <w:t>period after the crisis is 1,265 days from August 1, 2007 to August 31,</w:t>
                  </w:r>
                  <w:r>
                    <w:rPr>
                      <w:rFonts w:hint="eastAsia"/>
                      <w:spacing w:val="5"/>
                      <w:sz w:val="18"/>
                      <w:szCs w:val="18"/>
                    </w:rPr>
                    <w:t xml:space="preserve"> </w:t>
                  </w:r>
                  <w:r>
                    <w:rPr>
                      <w:spacing w:val="5"/>
                      <w:sz w:val="18"/>
                      <w:szCs w:val="18"/>
                    </w:rPr>
                    <w:t xml:space="preserve">2012. All the averages are significant at </w:t>
                  </w:r>
                  <w:r>
                    <w:rPr>
                      <w:rFonts w:hint="eastAsia"/>
                      <w:spacing w:val="5"/>
                      <w:sz w:val="18"/>
                      <w:szCs w:val="18"/>
                    </w:rPr>
                    <w:t xml:space="preserve">the </w:t>
                  </w:r>
                  <w:r>
                    <w:rPr>
                      <w:spacing w:val="5"/>
                      <w:sz w:val="18"/>
                      <w:szCs w:val="18"/>
                    </w:rPr>
                    <w:t xml:space="preserve">1% level.  S.D. is </w:t>
                  </w:r>
                  <w:r>
                    <w:rPr>
                      <w:rFonts w:hint="eastAsia"/>
                      <w:spacing w:val="5"/>
                      <w:sz w:val="18"/>
                      <w:szCs w:val="18"/>
                    </w:rPr>
                    <w:t xml:space="preserve">the </w:t>
                  </w:r>
                  <w:r>
                    <w:rPr>
                      <w:spacing w:val="5"/>
                      <w:sz w:val="18"/>
                      <w:szCs w:val="18"/>
                    </w:rPr>
                    <w:t>standard deviation.</w:t>
                  </w: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811"/>
        <w:gridCol w:w="709"/>
        <w:gridCol w:w="709"/>
        <w:gridCol w:w="708"/>
        <w:gridCol w:w="709"/>
        <w:gridCol w:w="709"/>
        <w:gridCol w:w="709"/>
        <w:gridCol w:w="708"/>
        <w:gridCol w:w="709"/>
        <w:gridCol w:w="709"/>
        <w:gridCol w:w="709"/>
        <w:gridCol w:w="708"/>
        <w:gridCol w:w="567"/>
      </w:tblGrid>
      <w:tr w:rsidR="00A44840" w:rsidTr="008B2726">
        <w:trPr>
          <w:trHeight w:val="180"/>
        </w:trPr>
        <w:tc>
          <w:tcPr>
            <w:tcW w:w="811" w:type="dxa"/>
            <w:vMerge w:val="restart"/>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 xml:space="preserve">　</w:t>
            </w:r>
          </w:p>
          <w:p w:rsidR="00A44840" w:rsidRDefault="00D35F5E">
            <w:pPr>
              <w:pStyle w:val="af0"/>
            </w:pPr>
            <w:r>
              <w:t xml:space="preserve">　</w:t>
            </w:r>
          </w:p>
        </w:tc>
        <w:tc>
          <w:tcPr>
            <w:tcW w:w="4253" w:type="dxa"/>
            <w:gridSpan w:val="6"/>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 xml:space="preserve">cash market　</w:t>
            </w:r>
          </w:p>
        </w:tc>
        <w:tc>
          <w:tcPr>
            <w:tcW w:w="4110" w:type="dxa"/>
            <w:gridSpan w:val="6"/>
            <w:tcBorders>
              <w:top w:val="single" w:sz="3" w:space="0" w:color="000000"/>
              <w:left w:val="nil"/>
              <w:bottom w:val="single" w:sz="3" w:space="0" w:color="000000"/>
              <w:right w:val="nil"/>
              <w:tl2br w:val="nil"/>
              <w:tr2bl w:val="nil"/>
            </w:tcBorders>
            <w:vAlign w:val="center"/>
          </w:tcPr>
          <w:p w:rsidR="00A44840" w:rsidRDefault="00D35F5E">
            <w:pPr>
              <w:pStyle w:val="af0"/>
            </w:pPr>
            <w:r>
              <w:t xml:space="preserve">　futures market　</w:t>
            </w:r>
          </w:p>
        </w:tc>
      </w:tr>
      <w:tr w:rsidR="008B2726" w:rsidTr="008B2726">
        <w:trPr>
          <w:trHeight w:val="180"/>
        </w:trPr>
        <w:tc>
          <w:tcPr>
            <w:tcW w:w="811" w:type="dxa"/>
            <w:vMerge/>
            <w:tcBorders>
              <w:top w:val="single" w:sz="3" w:space="0" w:color="000000"/>
              <w:left w:val="nil"/>
              <w:bottom w:val="single" w:sz="3" w:space="0" w:color="000000"/>
              <w:right w:val="single" w:sz="3" w:space="0" w:color="000000"/>
              <w:tl2br w:val="nil"/>
              <w:tr2bl w:val="nil"/>
            </w:tcBorders>
          </w:tcPr>
          <w:p w:rsidR="00A44840" w:rsidRDefault="00A44840"/>
        </w:tc>
        <w:tc>
          <w:tcPr>
            <w:tcW w:w="1418"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E445FC">
            <w:pPr>
              <w:pStyle w:val="af0"/>
            </w:pPr>
            <w:r>
              <w:rPr>
                <w:rFonts w:hint="eastAsia"/>
              </w:rPr>
              <w:t>entire</w:t>
            </w:r>
            <w:r>
              <w:t xml:space="preserve"> </w:t>
            </w:r>
            <w:r w:rsidR="00D35F5E">
              <w:t>period</w:t>
            </w:r>
          </w:p>
        </w:tc>
        <w:tc>
          <w:tcPr>
            <w:tcW w:w="1417"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E445FC">
            <w:pPr>
              <w:pStyle w:val="af0"/>
            </w:pPr>
            <w:r>
              <w:rPr>
                <w:rFonts w:hint="eastAsia"/>
              </w:rPr>
              <w:t>pre-</w:t>
            </w:r>
            <w:r w:rsidR="00D35F5E">
              <w:t>crisis</w:t>
            </w:r>
          </w:p>
        </w:tc>
        <w:tc>
          <w:tcPr>
            <w:tcW w:w="1418"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E445FC">
            <w:pPr>
              <w:pStyle w:val="af0"/>
            </w:pPr>
            <w:r>
              <w:rPr>
                <w:rFonts w:hint="eastAsia"/>
              </w:rPr>
              <w:t>post-</w:t>
            </w:r>
            <w:r w:rsidR="00D35F5E">
              <w:t>crisis</w:t>
            </w:r>
          </w:p>
        </w:tc>
        <w:tc>
          <w:tcPr>
            <w:tcW w:w="1417"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E445FC">
            <w:pPr>
              <w:pStyle w:val="af0"/>
            </w:pPr>
            <w:r>
              <w:rPr>
                <w:rFonts w:hint="eastAsia"/>
              </w:rPr>
              <w:t>entire</w:t>
            </w:r>
            <w:r>
              <w:t xml:space="preserve"> </w:t>
            </w:r>
            <w:r w:rsidR="00D35F5E">
              <w:t>period</w:t>
            </w:r>
          </w:p>
        </w:tc>
        <w:tc>
          <w:tcPr>
            <w:tcW w:w="1418"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E445FC">
            <w:pPr>
              <w:pStyle w:val="af0"/>
            </w:pPr>
            <w:r>
              <w:rPr>
                <w:rFonts w:hint="eastAsia"/>
              </w:rPr>
              <w:t>pre-</w:t>
            </w:r>
            <w:r>
              <w:t xml:space="preserve"> </w:t>
            </w:r>
            <w:r w:rsidR="00D35F5E">
              <w:t>crisis</w:t>
            </w:r>
          </w:p>
        </w:tc>
        <w:tc>
          <w:tcPr>
            <w:tcW w:w="1275" w:type="dxa"/>
            <w:gridSpan w:val="2"/>
            <w:tcBorders>
              <w:top w:val="single" w:sz="3" w:space="0" w:color="000000"/>
              <w:left w:val="nil"/>
              <w:bottom w:val="single" w:sz="3" w:space="0" w:color="000000"/>
              <w:right w:val="nil"/>
              <w:tl2br w:val="nil"/>
              <w:tr2bl w:val="nil"/>
            </w:tcBorders>
            <w:vAlign w:val="center"/>
          </w:tcPr>
          <w:p w:rsidR="00A44840" w:rsidRDefault="00E445FC">
            <w:pPr>
              <w:pStyle w:val="af0"/>
            </w:pPr>
            <w:r>
              <w:rPr>
                <w:rFonts w:hint="eastAsia"/>
              </w:rPr>
              <w:t>post-</w:t>
            </w:r>
            <w:r w:rsidR="00D35F5E">
              <w:t>crisis</w:t>
            </w:r>
          </w:p>
        </w:tc>
      </w:tr>
      <w:tr w:rsidR="008B2726" w:rsidTr="008B2726">
        <w:trPr>
          <w:trHeight w:val="180"/>
        </w:trPr>
        <w:tc>
          <w:tcPr>
            <w:tcW w:w="811" w:type="dxa"/>
            <w:vMerge/>
            <w:tcBorders>
              <w:top w:val="single" w:sz="3" w:space="0" w:color="000000"/>
              <w:left w:val="nil"/>
              <w:bottom w:val="single" w:sz="3" w:space="0" w:color="000000"/>
              <w:right w:val="single" w:sz="3" w:space="0" w:color="000000"/>
              <w:tl2br w:val="nil"/>
              <w:tr2bl w:val="nil"/>
            </w:tcBorders>
          </w:tcPr>
          <w:p w:rsidR="00A44840" w:rsidRDefault="00A44840"/>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rPr>
                <w:sz w:val="16"/>
                <w:szCs w:val="16"/>
              </w:rPr>
            </w:pPr>
            <w:r>
              <w:rPr>
                <w:sz w:val="16"/>
                <w:szCs w:val="16"/>
              </w:rPr>
              <w:t>S.D.</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rPr>
                <w:sz w:val="16"/>
                <w:szCs w:val="16"/>
              </w:rPr>
            </w:pPr>
            <w:r>
              <w:rPr>
                <w:sz w:val="16"/>
                <w:szCs w:val="16"/>
              </w:rPr>
              <w:t>S.D.</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rPr>
                <w:sz w:val="16"/>
                <w:szCs w:val="16"/>
              </w:rPr>
            </w:pPr>
            <w:r>
              <w:rPr>
                <w:sz w:val="16"/>
                <w:szCs w:val="16"/>
              </w:rPr>
              <w:t>S.D.</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rPr>
                <w:sz w:val="16"/>
                <w:szCs w:val="16"/>
              </w:rPr>
            </w:pPr>
            <w:r>
              <w:rPr>
                <w:sz w:val="16"/>
                <w:szCs w:val="16"/>
              </w:rPr>
              <w:t>S.D.</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rPr>
                <w:sz w:val="16"/>
                <w:szCs w:val="16"/>
              </w:rPr>
            </w:pPr>
            <w:r>
              <w:rPr>
                <w:sz w:val="16"/>
                <w:szCs w:val="16"/>
              </w:rPr>
              <w:t>S.D.</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average</w:t>
            </w:r>
          </w:p>
        </w:tc>
        <w:tc>
          <w:tcPr>
            <w:tcW w:w="567" w:type="dxa"/>
            <w:tcBorders>
              <w:top w:val="nil"/>
              <w:left w:val="nil"/>
              <w:bottom w:val="single" w:sz="3" w:space="0" w:color="000000"/>
              <w:right w:val="nil"/>
              <w:tl2br w:val="nil"/>
              <w:tr2bl w:val="nil"/>
            </w:tcBorders>
            <w:vAlign w:val="center"/>
          </w:tcPr>
          <w:p w:rsidR="00A44840" w:rsidRDefault="00D35F5E">
            <w:pPr>
              <w:pStyle w:val="af0"/>
              <w:rPr>
                <w:sz w:val="16"/>
                <w:szCs w:val="16"/>
              </w:rPr>
            </w:pPr>
            <w:r>
              <w:rPr>
                <w:sz w:val="16"/>
                <w:szCs w:val="16"/>
              </w:rPr>
              <w:t>S.D.</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9:00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3.66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9.14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4.39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12.10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2.72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2.19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2.69 </w:t>
            </w:r>
          </w:p>
        </w:tc>
        <w:tc>
          <w:tcPr>
            <w:tcW w:w="567" w:type="dxa"/>
            <w:tcBorders>
              <w:top w:val="nil"/>
              <w:left w:val="nil"/>
              <w:bottom w:val="nil"/>
              <w:right w:val="nil"/>
              <w:tl2br w:val="nil"/>
              <w:tr2bl w:val="nil"/>
            </w:tcBorders>
            <w:vAlign w:val="center"/>
          </w:tcPr>
          <w:p w:rsidR="00A44840" w:rsidRDefault="00D35F5E">
            <w:pPr>
              <w:pStyle w:val="af0"/>
            </w:pPr>
            <w:r>
              <w:t xml:space="preserve">1.60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9:15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7.80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7.23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7.89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9.52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7.68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8.43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2.62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8.32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2.57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8.56 </w:t>
            </w:r>
          </w:p>
        </w:tc>
        <w:tc>
          <w:tcPr>
            <w:tcW w:w="567" w:type="dxa"/>
            <w:tcBorders>
              <w:top w:val="nil"/>
              <w:left w:val="nil"/>
              <w:bottom w:val="nil"/>
              <w:right w:val="nil"/>
              <w:tl2br w:val="nil"/>
              <w:tr2bl w:val="nil"/>
            </w:tcBorders>
            <w:vAlign w:val="center"/>
          </w:tcPr>
          <w:p w:rsidR="00A44840" w:rsidRDefault="00D35F5E">
            <w:pPr>
              <w:pStyle w:val="af0"/>
            </w:pPr>
            <w:r>
              <w:t xml:space="preserve">2.68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9:30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6.18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6.41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5.87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6.09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6.31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2.12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5.82 </w:t>
            </w:r>
          </w:p>
        </w:tc>
        <w:tc>
          <w:tcPr>
            <w:tcW w:w="567" w:type="dxa"/>
            <w:tcBorders>
              <w:top w:val="nil"/>
              <w:left w:val="nil"/>
              <w:bottom w:val="nil"/>
              <w:right w:val="nil"/>
              <w:tl2br w:val="nil"/>
              <w:tr2bl w:val="nil"/>
            </w:tcBorders>
            <w:vAlign w:val="center"/>
          </w:tcPr>
          <w:p w:rsidR="00A44840" w:rsidRDefault="00D35F5E">
            <w:pPr>
              <w:pStyle w:val="af0"/>
            </w:pPr>
            <w:r>
              <w:t xml:space="preserve">1.70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9:45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5.26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5.44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5.03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0.93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5.13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5.35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2.15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4.86 </w:t>
            </w:r>
          </w:p>
        </w:tc>
        <w:tc>
          <w:tcPr>
            <w:tcW w:w="567" w:type="dxa"/>
            <w:tcBorders>
              <w:top w:val="nil"/>
              <w:left w:val="nil"/>
              <w:bottom w:val="nil"/>
              <w:right w:val="nil"/>
              <w:tl2br w:val="nil"/>
              <w:tr2bl w:val="nil"/>
            </w:tcBorders>
            <w:vAlign w:val="center"/>
          </w:tcPr>
          <w:p w:rsidR="00A44840" w:rsidRDefault="00D35F5E">
            <w:pPr>
              <w:pStyle w:val="af0"/>
            </w:pPr>
            <w:r>
              <w:t xml:space="preserve">1.70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10:00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4.63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4.73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4.51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4.63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4.71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4.54 </w:t>
            </w:r>
          </w:p>
        </w:tc>
        <w:tc>
          <w:tcPr>
            <w:tcW w:w="567" w:type="dxa"/>
            <w:tcBorders>
              <w:top w:val="nil"/>
              <w:left w:val="nil"/>
              <w:bottom w:val="nil"/>
              <w:right w:val="nil"/>
              <w:tl2br w:val="nil"/>
              <w:tr2bl w:val="nil"/>
            </w:tcBorders>
            <w:vAlign w:val="center"/>
          </w:tcPr>
          <w:p w:rsidR="00A44840" w:rsidRDefault="00D35F5E">
            <w:pPr>
              <w:pStyle w:val="af0"/>
            </w:pPr>
            <w:r>
              <w:t xml:space="preserve">1.60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10:15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4.20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4.32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4.05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4.29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4.18 </w:t>
            </w:r>
          </w:p>
        </w:tc>
        <w:tc>
          <w:tcPr>
            <w:tcW w:w="567" w:type="dxa"/>
            <w:tcBorders>
              <w:top w:val="nil"/>
              <w:left w:val="nil"/>
              <w:bottom w:val="nil"/>
              <w:right w:val="nil"/>
              <w:tl2br w:val="nil"/>
              <w:tr2bl w:val="nil"/>
            </w:tcBorders>
            <w:vAlign w:val="center"/>
          </w:tcPr>
          <w:p w:rsidR="00A44840" w:rsidRDefault="00D35F5E">
            <w:pPr>
              <w:pStyle w:val="af0"/>
            </w:pPr>
            <w:r>
              <w:t xml:space="preserve">1.51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10:30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3.91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4.00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3.80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4.05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4.06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4.05 </w:t>
            </w:r>
          </w:p>
        </w:tc>
        <w:tc>
          <w:tcPr>
            <w:tcW w:w="567" w:type="dxa"/>
            <w:tcBorders>
              <w:top w:val="nil"/>
              <w:left w:val="nil"/>
              <w:bottom w:val="nil"/>
              <w:right w:val="nil"/>
              <w:tl2br w:val="nil"/>
              <w:tr2bl w:val="nil"/>
            </w:tcBorders>
            <w:vAlign w:val="center"/>
          </w:tcPr>
          <w:p w:rsidR="00A44840" w:rsidRDefault="00D35F5E">
            <w:pPr>
              <w:pStyle w:val="af0"/>
            </w:pPr>
            <w:r>
              <w:t xml:space="preserve">1.52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10:45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3.73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3.82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3.61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3.84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3.75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3.94 </w:t>
            </w:r>
          </w:p>
        </w:tc>
        <w:tc>
          <w:tcPr>
            <w:tcW w:w="567" w:type="dxa"/>
            <w:tcBorders>
              <w:top w:val="nil"/>
              <w:left w:val="nil"/>
              <w:bottom w:val="nil"/>
              <w:right w:val="nil"/>
              <w:tl2br w:val="nil"/>
              <w:tr2bl w:val="nil"/>
            </w:tcBorders>
            <w:vAlign w:val="center"/>
          </w:tcPr>
          <w:p w:rsidR="00A44840" w:rsidRDefault="00D35F5E">
            <w:pPr>
              <w:pStyle w:val="af0"/>
            </w:pPr>
            <w:r>
              <w:t xml:space="preserve">1.61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11:00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3.51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2.70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3.50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3.53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3.51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3.60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3.48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3.75 </w:t>
            </w:r>
          </w:p>
        </w:tc>
        <w:tc>
          <w:tcPr>
            <w:tcW w:w="567" w:type="dxa"/>
            <w:tcBorders>
              <w:top w:val="nil"/>
              <w:left w:val="nil"/>
              <w:bottom w:val="nil"/>
              <w:right w:val="nil"/>
              <w:tl2br w:val="nil"/>
              <w:tr2bl w:val="nil"/>
            </w:tcBorders>
            <w:vAlign w:val="center"/>
          </w:tcPr>
          <w:p w:rsidR="00A44840" w:rsidRDefault="00D35F5E">
            <w:pPr>
              <w:pStyle w:val="af0"/>
            </w:pPr>
            <w:r>
              <w:t xml:space="preserve">1.55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11:15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3.39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3.40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3.28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3.13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3.46 </w:t>
            </w:r>
          </w:p>
        </w:tc>
        <w:tc>
          <w:tcPr>
            <w:tcW w:w="567" w:type="dxa"/>
            <w:tcBorders>
              <w:top w:val="nil"/>
              <w:left w:val="nil"/>
              <w:bottom w:val="nil"/>
              <w:right w:val="nil"/>
              <w:tl2br w:val="nil"/>
              <w:tr2bl w:val="nil"/>
            </w:tcBorders>
            <w:vAlign w:val="center"/>
          </w:tcPr>
          <w:p w:rsidR="00A44840" w:rsidRDefault="00D35F5E">
            <w:pPr>
              <w:pStyle w:val="af0"/>
            </w:pPr>
            <w:r>
              <w:t xml:space="preserve">1.33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11:30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3.28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3.32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3.24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3.06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3.00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3.14 </w:t>
            </w:r>
          </w:p>
        </w:tc>
        <w:tc>
          <w:tcPr>
            <w:tcW w:w="567" w:type="dxa"/>
            <w:tcBorders>
              <w:top w:val="nil"/>
              <w:left w:val="nil"/>
              <w:bottom w:val="nil"/>
              <w:right w:val="nil"/>
              <w:tl2br w:val="nil"/>
              <w:tr2bl w:val="nil"/>
            </w:tcBorders>
            <w:vAlign w:val="center"/>
          </w:tcPr>
          <w:p w:rsidR="00A44840" w:rsidRDefault="00D35F5E">
            <w:pPr>
              <w:pStyle w:val="af0"/>
            </w:pPr>
            <w:r>
              <w:t xml:space="preserve">1.31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11:45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2.96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2.99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2.93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2.77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2.67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2.90 </w:t>
            </w:r>
          </w:p>
        </w:tc>
        <w:tc>
          <w:tcPr>
            <w:tcW w:w="567" w:type="dxa"/>
            <w:tcBorders>
              <w:top w:val="nil"/>
              <w:left w:val="nil"/>
              <w:bottom w:val="nil"/>
              <w:right w:val="nil"/>
              <w:tl2br w:val="nil"/>
              <w:tr2bl w:val="nil"/>
            </w:tcBorders>
            <w:vAlign w:val="center"/>
          </w:tcPr>
          <w:p w:rsidR="00A44840" w:rsidRDefault="00D35F5E">
            <w:pPr>
              <w:pStyle w:val="af0"/>
            </w:pPr>
            <w:r>
              <w:t xml:space="preserve">1.34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12:00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7.99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2.10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10.63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2.58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0.57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2.50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2.66 </w:t>
            </w:r>
          </w:p>
        </w:tc>
        <w:tc>
          <w:tcPr>
            <w:tcW w:w="567" w:type="dxa"/>
            <w:tcBorders>
              <w:top w:val="nil"/>
              <w:left w:val="nil"/>
              <w:bottom w:val="nil"/>
              <w:right w:val="nil"/>
              <w:tl2br w:val="nil"/>
              <w:tr2bl w:val="nil"/>
            </w:tcBorders>
            <w:vAlign w:val="center"/>
          </w:tcPr>
          <w:p w:rsidR="00A44840" w:rsidRDefault="00D35F5E">
            <w:pPr>
              <w:pStyle w:val="af0"/>
            </w:pPr>
            <w:r>
              <w:t xml:space="preserve">1.31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12:15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2.03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6.57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1.83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8.75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2.28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0.55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2.23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2.55 </w:t>
            </w:r>
          </w:p>
        </w:tc>
        <w:tc>
          <w:tcPr>
            <w:tcW w:w="567" w:type="dxa"/>
            <w:tcBorders>
              <w:top w:val="nil"/>
              <w:left w:val="nil"/>
              <w:bottom w:val="nil"/>
              <w:right w:val="nil"/>
              <w:tl2br w:val="nil"/>
              <w:tr2bl w:val="nil"/>
            </w:tcBorders>
            <w:vAlign w:val="center"/>
          </w:tcPr>
          <w:p w:rsidR="00A44840" w:rsidRDefault="00D35F5E">
            <w:pPr>
              <w:pStyle w:val="af0"/>
            </w:pPr>
            <w:r>
              <w:t xml:space="preserve">1.14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12:30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2.36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0.51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2.50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2.34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2.70 </w:t>
            </w:r>
          </w:p>
        </w:tc>
        <w:tc>
          <w:tcPr>
            <w:tcW w:w="567" w:type="dxa"/>
            <w:tcBorders>
              <w:top w:val="nil"/>
              <w:left w:val="nil"/>
              <w:bottom w:val="nil"/>
              <w:right w:val="nil"/>
              <w:tl2br w:val="nil"/>
              <w:tr2bl w:val="nil"/>
            </w:tcBorders>
            <w:vAlign w:val="center"/>
          </w:tcPr>
          <w:p w:rsidR="00A44840" w:rsidRDefault="00D35F5E">
            <w:pPr>
              <w:pStyle w:val="af0"/>
            </w:pPr>
            <w:r>
              <w:t xml:space="preserve">1.32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lastRenderedPageBreak/>
              <w:t>12:45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2.62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2.67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2.55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0.59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3.01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2.96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3.08 </w:t>
            </w:r>
          </w:p>
        </w:tc>
        <w:tc>
          <w:tcPr>
            <w:tcW w:w="567" w:type="dxa"/>
            <w:tcBorders>
              <w:top w:val="nil"/>
              <w:left w:val="nil"/>
              <w:bottom w:val="nil"/>
              <w:right w:val="nil"/>
              <w:tl2br w:val="nil"/>
              <w:tr2bl w:val="nil"/>
            </w:tcBorders>
            <w:vAlign w:val="center"/>
          </w:tcPr>
          <w:p w:rsidR="00A44840" w:rsidRDefault="00D35F5E">
            <w:pPr>
              <w:pStyle w:val="af0"/>
            </w:pPr>
            <w:r>
              <w:t xml:space="preserve">1.31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13:00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2.86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2.90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2.81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0.58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3.10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3.11 </w:t>
            </w:r>
          </w:p>
        </w:tc>
        <w:tc>
          <w:tcPr>
            <w:tcW w:w="567" w:type="dxa"/>
            <w:tcBorders>
              <w:top w:val="nil"/>
              <w:left w:val="nil"/>
              <w:bottom w:val="nil"/>
              <w:right w:val="nil"/>
              <w:tl2br w:val="nil"/>
              <w:tr2bl w:val="nil"/>
            </w:tcBorders>
            <w:vAlign w:val="center"/>
          </w:tcPr>
          <w:p w:rsidR="00A44840" w:rsidRDefault="00D35F5E">
            <w:pPr>
              <w:pStyle w:val="af0"/>
            </w:pPr>
            <w:r>
              <w:t xml:space="preserve">1.28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13:15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3.11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3.07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3.30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3.04 </w:t>
            </w:r>
          </w:p>
        </w:tc>
        <w:tc>
          <w:tcPr>
            <w:tcW w:w="567" w:type="dxa"/>
            <w:tcBorders>
              <w:top w:val="nil"/>
              <w:left w:val="nil"/>
              <w:bottom w:val="nil"/>
              <w:right w:val="nil"/>
              <w:tl2br w:val="nil"/>
              <w:tr2bl w:val="nil"/>
            </w:tcBorders>
            <w:vAlign w:val="center"/>
          </w:tcPr>
          <w:p w:rsidR="00A44840" w:rsidRDefault="00D35F5E">
            <w:pPr>
              <w:pStyle w:val="af0"/>
            </w:pPr>
            <w:r>
              <w:t xml:space="preserve">1.27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13:30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3.45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1.27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3.42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3.49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1.48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3.36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3.26 </w:t>
            </w:r>
          </w:p>
        </w:tc>
        <w:tc>
          <w:tcPr>
            <w:tcW w:w="567" w:type="dxa"/>
            <w:tcBorders>
              <w:top w:val="nil"/>
              <w:left w:val="nil"/>
              <w:bottom w:val="nil"/>
              <w:right w:val="nil"/>
              <w:tl2br w:val="nil"/>
              <w:tr2bl w:val="nil"/>
            </w:tcBorders>
            <w:vAlign w:val="center"/>
          </w:tcPr>
          <w:p w:rsidR="00A44840" w:rsidRDefault="00D35F5E">
            <w:pPr>
              <w:pStyle w:val="af0"/>
            </w:pPr>
            <w:r>
              <w:t xml:space="preserve">1.35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13:45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3.61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3.50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3.75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0.74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3.45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3.58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3.28 </w:t>
            </w:r>
          </w:p>
        </w:tc>
        <w:tc>
          <w:tcPr>
            <w:tcW w:w="567" w:type="dxa"/>
            <w:tcBorders>
              <w:top w:val="nil"/>
              <w:left w:val="nil"/>
              <w:bottom w:val="nil"/>
              <w:right w:val="nil"/>
              <w:tl2br w:val="nil"/>
              <w:tr2bl w:val="nil"/>
            </w:tcBorders>
            <w:vAlign w:val="center"/>
          </w:tcPr>
          <w:p w:rsidR="00A44840" w:rsidRDefault="00D35F5E">
            <w:pPr>
              <w:pStyle w:val="af0"/>
            </w:pPr>
            <w:r>
              <w:t xml:space="preserve">1.29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14:00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3.91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1.36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3.75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4.10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0.78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3.71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3.78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2.20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3.62 </w:t>
            </w:r>
          </w:p>
        </w:tc>
        <w:tc>
          <w:tcPr>
            <w:tcW w:w="567" w:type="dxa"/>
            <w:tcBorders>
              <w:top w:val="nil"/>
              <w:left w:val="nil"/>
              <w:bottom w:val="nil"/>
              <w:right w:val="nil"/>
              <w:tl2br w:val="nil"/>
              <w:tr2bl w:val="nil"/>
            </w:tcBorders>
            <w:vAlign w:val="center"/>
          </w:tcPr>
          <w:p w:rsidR="00A44840" w:rsidRDefault="00D35F5E">
            <w:pPr>
              <w:pStyle w:val="af0"/>
            </w:pPr>
            <w:r>
              <w:t xml:space="preserve">1.39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14:15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4.23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1.30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4.12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4.37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4.07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4.19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2.09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3.93 </w:t>
            </w:r>
          </w:p>
        </w:tc>
        <w:tc>
          <w:tcPr>
            <w:tcW w:w="567" w:type="dxa"/>
            <w:tcBorders>
              <w:top w:val="nil"/>
              <w:left w:val="nil"/>
              <w:bottom w:val="nil"/>
              <w:right w:val="nil"/>
              <w:tl2br w:val="nil"/>
              <w:tr2bl w:val="nil"/>
            </w:tcBorders>
            <w:vAlign w:val="center"/>
          </w:tcPr>
          <w:p w:rsidR="00A44840" w:rsidRDefault="00D35F5E">
            <w:pPr>
              <w:pStyle w:val="af0"/>
            </w:pPr>
            <w:r>
              <w:t xml:space="preserve">1.49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14:30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4.89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4.75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5.06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0.90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4.25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4.34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4.14 </w:t>
            </w:r>
          </w:p>
        </w:tc>
        <w:tc>
          <w:tcPr>
            <w:tcW w:w="567" w:type="dxa"/>
            <w:tcBorders>
              <w:top w:val="nil"/>
              <w:left w:val="nil"/>
              <w:bottom w:val="nil"/>
              <w:right w:val="nil"/>
              <w:tl2br w:val="nil"/>
              <w:tr2bl w:val="nil"/>
            </w:tcBorders>
            <w:vAlign w:val="center"/>
          </w:tcPr>
          <w:p w:rsidR="00A44840" w:rsidRDefault="00D35F5E">
            <w:pPr>
              <w:pStyle w:val="af0"/>
            </w:pPr>
            <w:r>
              <w:t xml:space="preserve">1.40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14:45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6.01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1.63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5.77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6.31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1.07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4.58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1.73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4.65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1.82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4.49 </w:t>
            </w:r>
          </w:p>
        </w:tc>
        <w:tc>
          <w:tcPr>
            <w:tcW w:w="567" w:type="dxa"/>
            <w:tcBorders>
              <w:top w:val="nil"/>
              <w:left w:val="nil"/>
              <w:bottom w:val="nil"/>
              <w:right w:val="nil"/>
              <w:tl2br w:val="nil"/>
              <w:tr2bl w:val="nil"/>
            </w:tcBorders>
            <w:vAlign w:val="center"/>
          </w:tcPr>
          <w:p w:rsidR="00A44840" w:rsidRDefault="00D35F5E">
            <w:pPr>
              <w:pStyle w:val="af0"/>
            </w:pPr>
            <w:r>
              <w:t xml:space="preserve">1.60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14:50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2.08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2.27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0.41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1.53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0.78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1.54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0.80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1.51 </w:t>
            </w:r>
          </w:p>
        </w:tc>
        <w:tc>
          <w:tcPr>
            <w:tcW w:w="567" w:type="dxa"/>
            <w:tcBorders>
              <w:top w:val="nil"/>
              <w:left w:val="nil"/>
              <w:bottom w:val="nil"/>
              <w:right w:val="nil"/>
              <w:tl2br w:val="nil"/>
              <w:tr2bl w:val="nil"/>
            </w:tcBorders>
            <w:vAlign w:val="center"/>
          </w:tcPr>
          <w:p w:rsidR="00A44840" w:rsidRDefault="00D35F5E">
            <w:pPr>
              <w:pStyle w:val="af0"/>
            </w:pPr>
            <w:r>
              <w:t xml:space="preserve">0.74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15:00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4.02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3.09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3.18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2.84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5.11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3.05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3.36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1.89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3.28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3.46 </w:t>
            </w:r>
          </w:p>
        </w:tc>
        <w:tc>
          <w:tcPr>
            <w:tcW w:w="567" w:type="dxa"/>
            <w:tcBorders>
              <w:top w:val="nil"/>
              <w:left w:val="nil"/>
              <w:bottom w:val="nil"/>
              <w:right w:val="nil"/>
              <w:tl2br w:val="nil"/>
              <w:tr2bl w:val="nil"/>
            </w:tcBorders>
            <w:vAlign w:val="center"/>
          </w:tcPr>
          <w:p w:rsidR="00A44840" w:rsidRDefault="00D35F5E">
            <w:pPr>
              <w:pStyle w:val="af0"/>
            </w:pPr>
            <w:r>
              <w:t xml:space="preserve">1.78 </w:t>
            </w:r>
          </w:p>
        </w:tc>
      </w:tr>
      <w:tr w:rsidR="008B2726" w:rsidTr="008B2726">
        <w:trPr>
          <w:trHeight w:val="330"/>
        </w:trPr>
        <w:tc>
          <w:tcPr>
            <w:tcW w:w="811" w:type="dxa"/>
            <w:tcBorders>
              <w:top w:val="nil"/>
              <w:left w:val="nil"/>
              <w:bottom w:val="nil"/>
              <w:right w:val="single" w:sz="3" w:space="0" w:color="000000"/>
              <w:tl2br w:val="nil"/>
              <w:tr2bl w:val="nil"/>
            </w:tcBorders>
            <w:vAlign w:val="center"/>
          </w:tcPr>
          <w:p w:rsidR="00A44840" w:rsidRDefault="00D35F5E">
            <w:pPr>
              <w:pStyle w:val="af0"/>
            </w:pPr>
            <w:r>
              <w:t>15:05</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1.76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1.12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1.93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1.17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1.54 </w:t>
            </w:r>
          </w:p>
        </w:tc>
        <w:tc>
          <w:tcPr>
            <w:tcW w:w="567" w:type="dxa"/>
            <w:tcBorders>
              <w:top w:val="nil"/>
              <w:left w:val="nil"/>
              <w:bottom w:val="nil"/>
              <w:right w:val="nil"/>
              <w:tl2br w:val="nil"/>
              <w:tr2bl w:val="nil"/>
            </w:tcBorders>
            <w:vAlign w:val="center"/>
          </w:tcPr>
          <w:p w:rsidR="00A44840" w:rsidRDefault="00D35F5E">
            <w:pPr>
              <w:pStyle w:val="af0"/>
            </w:pPr>
            <w:r>
              <w:t xml:space="preserve">1.02 </w:t>
            </w:r>
          </w:p>
        </w:tc>
      </w:tr>
      <w:tr w:rsidR="008B2726" w:rsidTr="008B2726">
        <w:trPr>
          <w:trHeight w:val="330"/>
        </w:trPr>
        <w:tc>
          <w:tcPr>
            <w:tcW w:w="811" w:type="dxa"/>
            <w:tcBorders>
              <w:top w:val="nil"/>
              <w:left w:val="nil"/>
              <w:bottom w:val="single" w:sz="3" w:space="0" w:color="000000"/>
              <w:right w:val="single" w:sz="3" w:space="0" w:color="000000"/>
              <w:tl2br w:val="nil"/>
              <w:tr2bl w:val="nil"/>
            </w:tcBorders>
            <w:vAlign w:val="center"/>
          </w:tcPr>
          <w:p w:rsidR="00A44840" w:rsidRDefault="00D35F5E">
            <w:pPr>
              <w:pStyle w:val="af0"/>
            </w:pPr>
            <w:r>
              <w:t>15:15</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1.96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3.13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2.13 </w:t>
            </w:r>
          </w:p>
        </w:tc>
        <w:tc>
          <w:tcPr>
            <w:tcW w:w="709"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2.07 </w:t>
            </w:r>
          </w:p>
        </w:tc>
        <w:tc>
          <w:tcPr>
            <w:tcW w:w="708" w:type="dxa"/>
            <w:tcBorders>
              <w:top w:val="nil"/>
              <w:left w:val="nil"/>
              <w:bottom w:val="single" w:sz="3" w:space="0" w:color="000000"/>
              <w:right w:val="single" w:sz="3" w:space="0" w:color="000000"/>
              <w:tl2br w:val="nil"/>
              <w:tr2bl w:val="nil"/>
            </w:tcBorders>
            <w:vAlign w:val="center"/>
          </w:tcPr>
          <w:p w:rsidR="00A44840" w:rsidRDefault="00D35F5E">
            <w:pPr>
              <w:pStyle w:val="af0"/>
            </w:pPr>
            <w:r>
              <w:t xml:space="preserve">1.76 </w:t>
            </w:r>
          </w:p>
        </w:tc>
        <w:tc>
          <w:tcPr>
            <w:tcW w:w="567" w:type="dxa"/>
            <w:tcBorders>
              <w:top w:val="nil"/>
              <w:left w:val="nil"/>
              <w:bottom w:val="single" w:sz="3" w:space="0" w:color="000000"/>
              <w:right w:val="nil"/>
              <w:tl2br w:val="nil"/>
              <w:tr2bl w:val="nil"/>
            </w:tcBorders>
            <w:vAlign w:val="center"/>
          </w:tcPr>
          <w:p w:rsidR="00A44840" w:rsidRDefault="00D35F5E">
            <w:pPr>
              <w:pStyle w:val="af0"/>
            </w:pPr>
            <w:r>
              <w:t xml:space="preserve">4.08 </w:t>
            </w:r>
          </w:p>
        </w:tc>
      </w:tr>
    </w:tbl>
    <w:p w:rsidR="00A44840" w:rsidRDefault="00A44840">
      <w:pPr>
        <w:rPr>
          <w:sz w:val="2"/>
        </w:rPr>
      </w:pPr>
    </w:p>
    <w:p w:rsidR="00A44840" w:rsidRDefault="00A44840">
      <w:pPr>
        <w:pStyle w:val="a8"/>
        <w:ind w:firstLine="0"/>
      </w:pPr>
    </w:p>
    <w:p w:rsidR="00A44840" w:rsidRDefault="00A44840">
      <w:pPr>
        <w:pStyle w:val="a8"/>
        <w:ind w:firstLine="0"/>
      </w:pPr>
    </w:p>
    <w:p w:rsidR="00A44840" w:rsidRDefault="00A44840">
      <w:pPr>
        <w:pStyle w:val="a8"/>
        <w:ind w:firstLine="0"/>
      </w:pPr>
    </w:p>
    <w:p w:rsidR="00A44840" w:rsidRDefault="004E4790">
      <w:r>
        <w:rPr>
          <w:noProof/>
        </w:rPr>
      </w:r>
      <w:r w:rsidR="003D65C8">
        <w:rPr>
          <w:noProof/>
        </w:rPr>
        <w:pict>
          <v:rect id="_x0000_s1113894790" o:spid="_x0000_s1028"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ZQ1tQIAAK8FAAAOAAAAZHJzL2Uyb0RvYy54bWysVF1vmzAUfZ+0/2D5nYIpSQCVVG0I06Ru&#10;q9TtuXLABGtgI9sN6ar9912bkDTdy7SNB3RtX9+Pc47v1fW+a9GOKc2lyDC5CDBiopQVF9sMf/ta&#10;eDFG2lBR0VYKluFnpvH18v27q6FPWSgb2VZMIQgidDr0GW6M6VPf12XDOqovZM8EHNZSddTAUm39&#10;StEBonetHwbB3B+kqnolS6Y17ObjIV66+HXNSvOlrjUzqM0w1GbcX7n/xv795RVNt4r2DS8PZdC/&#10;qKKjXEDSY6icGoqeFP8tVMdLJbWszUUpO1/WNS+Z6wG6IcGbbh4a2jPXC4Cj+yNM+v+FLT/v7hXi&#10;FXAH8AjaAUeP+wC+R00IuYyTaJE4mIZep+D90N8r26ju72T5XSMhVw0VW3ajlBwaRisojlhY/bML&#10;dqHhKtoMn2QFSeiTkQ6xfa06GxCwQHtHzPORGLY3qITNOQmDxXyGUQlnJFiQOHY1+TSdrvdKmw9M&#10;dsgaGVbAvAtPd3fa2HJoOrnYbEIWvG0d+6042wDHcQeSw1V7ZstwZL4kQbKO13HkReF87UVBnns3&#10;xSry5gVZzPLLfLXKyU+bl0Rpw6uKCZtmEhaJ/oy4g8RHSRylpWXLKxvOlqTVdrNqFdpREHbhPgc6&#10;nJzc/PMyHAjQy5uWSBgFt2HiFfN44UVFNPOSRRB7AUluk3kQJVFenLd0xwX795bQkOFkFs4cS6+K&#10;ftOblWIwkX3m1nEDo6PlXYbjoxNNrQbXonLUGsrb0X4FhS3/BAXQPRHtFGtFaqeHTs1+sx9fRmih&#10;tVsbWT2DhpUEhcFzgbkHRiPVD4wGmCEZFjDkMGo/CngFdtxMhpqMzWRQUcLFDBuMRnNlxrH01Cu+&#10;bSAuGZHpb+ClFNxp+FTD4X3BVHCtHCaYHTuv187rNGeXvwAAAP//AwBQSwMEFAAGAAgAAAAhAC8G&#10;4wHWAAAABQEAAA8AAABkcnMvZG93bnJldi54bWxMj81qwzAQhO+FvIPYQm+N1BxKcC2HUgikpZc4&#10;fQDFWv9QaddISuy8fZRSaC/LDrPMflNuZu/EGUMcmDQ8LRUIpIbtQJ2Gr8P2cQ0iJkPWOCbUcMEI&#10;m2pxV5rC8kR7PNepEzmEYmE09CmNhZSx6dGbuOQRKXstB29SlqGTNpgph3snV0o9S28Gyh96M+Jb&#10;j813ffIa5KHeTuvaBcUfq/bTve/2LbLWD/fz6wuIhHP6O4YbfkaHKjMd+UQ2CqchF0k/8+YpleXx&#10;d5FVKf/TV1cAAAD//wMAUEsBAi0AFAAGAAgAAAAhALaDOJL+AAAA4QEAABMAAAAAAAAAAAAAAAAA&#10;AAAAAFtDb250ZW50X1R5cGVzXS54bWxQSwECLQAUAAYACAAAACEAOP0h/9YAAACUAQAACwAAAAAA&#10;AAAAAAAAAAAvAQAAX3JlbHMvLnJlbHNQSwECLQAUAAYACAAAACEA5fWUNbUCAACvBQAADgAAAAAA&#10;AAAAAAAAAAAuAgAAZHJzL2Uyb0RvYy54bWxQSwECLQAUAAYACAAAACEALwbjAdYAAAAFAQAADwAA&#10;AAAAAAAAAAAAAAAPBQAAZHJzL2Rvd25yZXYueG1sUEsFBgAAAAAEAAQA8wAAABIGAAAAAA==&#10;" filled="f" stroked="f">
            <v:textbox style="mso-fit-shape-to-text:t" inset="0,0,0,0">
              <w:txbxContent>
                <w:p w:rsidR="006B03CF" w:rsidRDefault="006B03CF">
                  <w:pPr>
                    <w:pStyle w:val="af1"/>
                  </w:pPr>
                  <w:r>
                    <w:t>&lt;Appendix C&gt; Estimation results for equation</w:t>
                  </w:r>
                  <w:r>
                    <w:rPr>
                      <w:rFonts w:hint="eastAsia"/>
                    </w:rPr>
                    <w:t xml:space="preserve"> </w:t>
                  </w:r>
                  <w:r>
                    <w:t>(6)</w:t>
                  </w:r>
                </w:p>
                <w:p w:rsidR="006B03CF" w:rsidRDefault="006B03CF">
                  <w:pPr>
                    <w:pStyle w:val="af"/>
                  </w:pPr>
                  <w:r>
                    <w:t>This table summarizes the results of equation</w:t>
                  </w:r>
                  <w:r>
                    <w:rPr>
                      <w:rFonts w:hint="eastAsia"/>
                    </w:rPr>
                    <w:t xml:space="preserve"> </w:t>
                  </w:r>
                  <w:r>
                    <w:t xml:space="preserve">(6): </w:t>
                  </w:r>
                  <m:oMath>
                    <m:sSub>
                      <m:sSubPr>
                        <m:ctrlPr>
                          <w:rPr>
                            <w:rFonts w:ascii="Cambria Math" w:hAnsi="Cambria Math"/>
                          </w:rPr>
                        </m:ctrlPr>
                      </m:sSubPr>
                      <m:e>
                        <m:r>
                          <m:rPr>
                            <m:sty m:val="p"/>
                          </m:rPr>
                          <w:rPr>
                            <w:rFonts w:ascii="Cambria Math"/>
                          </w:rPr>
                          <m:t>r</m:t>
                        </m:r>
                      </m:e>
                      <m:sub>
                        <m:r>
                          <m:rPr>
                            <m:sty m:val="p"/>
                          </m:rPr>
                          <w:rPr>
                            <w:rFonts w:ascii="Cambria Math"/>
                          </w:rPr>
                          <m:t>k,t,j</m:t>
                        </m:r>
                      </m:sub>
                    </m:sSub>
                    <m:r>
                      <m:rPr>
                        <m:sty m:val="p"/>
                      </m:rPr>
                      <w:rPr>
                        <w:rFonts w:ascii="Cambria Math"/>
                      </w:rPr>
                      <m:t>=</m:t>
                    </m:r>
                    <m:sSub>
                      <m:sSubPr>
                        <m:ctrlPr>
                          <w:rPr>
                            <w:rFonts w:ascii="Cambria Math" w:hAnsi="Cambria Math"/>
                          </w:rPr>
                        </m:ctrlPr>
                      </m:sSubPr>
                      <m:e>
                        <m:r>
                          <m:rPr>
                            <m:sty m:val="p"/>
                          </m:rPr>
                          <w:rPr>
                            <w:rFonts w:ascii="Cambria Math"/>
                          </w:rPr>
                          <m:t>a</m:t>
                        </m:r>
                      </m:e>
                      <m:sub>
                        <m:r>
                          <m:rPr>
                            <m:sty m:val="p"/>
                          </m:rPr>
                          <w:rPr>
                            <w:rFonts w:ascii="Cambria Math"/>
                          </w:rPr>
                          <m:t>k,j</m:t>
                        </m:r>
                      </m:sub>
                    </m:sSub>
                    <m:r>
                      <m:rPr>
                        <m:sty m:val="p"/>
                      </m:rPr>
                      <w:rPr>
                        <w:rFonts w:ascii="Cambria Math"/>
                      </w:rPr>
                      <m:t>+</m:t>
                    </m:r>
                    <m:sSub>
                      <m:sSubPr>
                        <m:ctrlPr>
                          <w:rPr>
                            <w:rFonts w:ascii="Cambria Math" w:hAnsi="Cambria Math"/>
                          </w:rPr>
                        </m:ctrlPr>
                      </m:sSubPr>
                      <m:e>
                        <m:r>
                          <m:rPr>
                            <m:sty m:val="p"/>
                          </m:rPr>
                          <w:rPr>
                            <w:rFonts w:ascii="Cambria Math"/>
                          </w:rPr>
                          <m:t>b</m:t>
                        </m:r>
                      </m:e>
                      <m:sub>
                        <m:r>
                          <m:rPr>
                            <m:sty m:val="p"/>
                          </m:rPr>
                          <w:rPr>
                            <w:rFonts w:ascii="Cambria Math"/>
                          </w:rPr>
                          <m:t>k,j</m:t>
                        </m:r>
                      </m:sub>
                    </m:sSub>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ε</m:t>
                        </m:r>
                      </m:e>
                      <m:sub>
                        <m:r>
                          <m:rPr>
                            <m:sty m:val="p"/>
                          </m:rPr>
                          <w:rPr>
                            <w:rFonts w:ascii="Cambria Math"/>
                          </w:rPr>
                          <m:t>k,t,j</m:t>
                        </m:r>
                      </m:sub>
                    </m:sSub>
                  </m:oMath>
                  <w:r>
                    <w:t xml:space="preserve"> where k is cash (or futures). </w:t>
                  </w:r>
                  <m:oMath>
                    <m:sSub>
                      <m:sSubPr>
                        <m:ctrlPr>
                          <w:rPr>
                            <w:rFonts w:ascii="Cambria Math" w:hAnsi="Cambria Math"/>
                          </w:rPr>
                        </m:ctrlPr>
                      </m:sSubPr>
                      <m:e>
                        <m:r>
                          <m:rPr>
                            <m:sty m:val="p"/>
                          </m:rPr>
                          <w:rPr>
                            <w:rFonts w:ascii="Cambria Math"/>
                          </w:rPr>
                          <m:t>A</m:t>
                        </m:r>
                      </m:e>
                      <m:sub>
                        <m:r>
                          <m:rPr>
                            <m:sty m:val="p"/>
                          </m:rPr>
                          <w:rPr>
                            <w:rFonts w:ascii="Cambria Math"/>
                          </w:rPr>
                          <m:t>k,j</m:t>
                        </m:r>
                      </m:sub>
                    </m:sSub>
                  </m:oMath>
                  <w:r>
                    <w:t xml:space="preserve"> </w:t>
                  </w:r>
                  <w:proofErr w:type="gramStart"/>
                  <w:r>
                    <w:t>is</w:t>
                  </w:r>
                  <w:proofErr w:type="gramEnd"/>
                  <w:r>
                    <w:t xml:space="preserve"> </w:t>
                  </w:r>
                  <w:r>
                    <w:rPr>
                      <w:rFonts w:hint="eastAsia"/>
                    </w:rPr>
                    <w:t xml:space="preserve">the </w:t>
                  </w:r>
                  <w:r>
                    <w:t xml:space="preserve">intercept, </w:t>
                  </w:r>
                  <m:oMath>
                    <m:sSub>
                      <m:sSubPr>
                        <m:ctrlPr>
                          <w:rPr>
                            <w:rFonts w:ascii="Cambria Math" w:hAnsi="Cambria Math"/>
                          </w:rPr>
                        </m:ctrlPr>
                      </m:sSubPr>
                      <m:e>
                        <m:r>
                          <m:rPr>
                            <m:sty m:val="p"/>
                          </m:rPr>
                          <w:rPr>
                            <w:rFonts w:ascii="Cambria Math"/>
                          </w:rPr>
                          <m:t>b</m:t>
                        </m:r>
                      </m:e>
                      <m:sub>
                        <m:r>
                          <m:rPr>
                            <m:sty m:val="p"/>
                          </m:rPr>
                          <w:rPr>
                            <w:rFonts w:ascii="Cambria Math"/>
                          </w:rPr>
                          <m:t>k,j</m:t>
                        </m:r>
                      </m:sub>
                    </m:sSub>
                  </m:oMath>
                  <w:r>
                    <w:t xml:space="preserve"> is </w:t>
                  </w:r>
                  <w:r>
                    <w:rPr>
                      <w:rFonts w:hint="eastAsia"/>
                    </w:rPr>
                    <w:t xml:space="preserve">the </w:t>
                  </w:r>
                  <w:r>
                    <w:t xml:space="preserve">slope and </w:t>
                  </w:r>
                  <m:oMath>
                    <m:sSub>
                      <m:sSubPr>
                        <m:ctrlPr>
                          <w:rPr>
                            <w:rFonts w:ascii="Cambria Math" w:hAnsi="Cambria Math"/>
                          </w:rPr>
                        </m:ctrlPr>
                      </m:sSubPr>
                      <m:e>
                        <m:r>
                          <m:rPr>
                            <m:sty m:val="p"/>
                          </m:rPr>
                          <w:rPr>
                            <w:rFonts w:ascii="Cambria Math"/>
                          </w:rPr>
                          <m:t>ε</m:t>
                        </m:r>
                      </m:e>
                      <m:sub>
                        <m:r>
                          <m:rPr>
                            <m:sty m:val="p"/>
                          </m:rPr>
                          <w:rPr>
                            <w:rFonts w:ascii="Cambria Math"/>
                          </w:rPr>
                          <m:t>k,t,j</m:t>
                        </m:r>
                      </m:sub>
                    </m:sSub>
                  </m:oMath>
                  <w:r>
                    <w:t>is</w:t>
                  </w:r>
                  <w:r>
                    <w:rPr>
                      <w:rFonts w:hint="eastAsia"/>
                    </w:rPr>
                    <w:t xml:space="preserve"> the</w:t>
                  </w:r>
                  <w:r>
                    <w:t xml:space="preserve"> error term. (</w:t>
                  </w:r>
                  <w:r>
                    <w:t>∙</w:t>
                  </w:r>
                  <w:r>
                    <w:t>)</w:t>
                  </w:r>
                  <w:r>
                    <w:rPr>
                      <w:rFonts w:hint="eastAsia"/>
                    </w:rPr>
                    <w:t xml:space="preserve"> </w:t>
                  </w:r>
                  <w:r>
                    <w:t xml:space="preserve">are </w:t>
                  </w:r>
                  <w:r>
                    <w:rPr>
                      <w:rFonts w:hint="eastAsia"/>
                    </w:rPr>
                    <w:t xml:space="preserve">the </w:t>
                  </w:r>
                  <w:r>
                    <w:t>t-values.  R</w:t>
                  </w:r>
                  <w:r>
                    <w:rPr>
                      <w:vertAlign w:val="superscript"/>
                    </w:rPr>
                    <w:t xml:space="preserve">2 </w:t>
                  </w:r>
                  <w:r>
                    <w:t xml:space="preserve">is </w:t>
                  </w:r>
                  <w:r>
                    <w:rPr>
                      <w:rFonts w:hint="eastAsia"/>
                    </w:rPr>
                    <w:t xml:space="preserve">the </w:t>
                  </w:r>
                  <w:r>
                    <w:t xml:space="preserve">coefficient of determination. F is </w:t>
                  </w:r>
                  <w:r>
                    <w:rPr>
                      <w:rFonts w:hint="eastAsia"/>
                    </w:rPr>
                    <w:t xml:space="preserve">the </w:t>
                  </w:r>
                  <w:r>
                    <w:t xml:space="preserve">F-statistic for the equation. * denotes </w:t>
                  </w:r>
                  <w:r>
                    <w:rPr>
                      <w:rFonts w:hint="eastAsia"/>
                    </w:rPr>
                    <w:t>a</w:t>
                  </w:r>
                  <w:r>
                    <w:t>5% significance level</w:t>
                  </w:r>
                  <w:r>
                    <w:rPr>
                      <w:rFonts w:hint="eastAsia"/>
                    </w:rPr>
                    <w:t xml:space="preserve"> and</w:t>
                  </w:r>
                  <w:r>
                    <w:t xml:space="preserve"> ** denotes </w:t>
                  </w:r>
                  <w:r>
                    <w:rPr>
                      <w:rFonts w:hint="eastAsia"/>
                    </w:rPr>
                    <w:t xml:space="preserve">a </w:t>
                  </w:r>
                  <w:r>
                    <w:t xml:space="preserve">1% significance level. </w:t>
                  </w:r>
                  <w:r>
                    <w:rPr>
                      <w:rFonts w:hint="eastAsia"/>
                    </w:rPr>
                    <w:t xml:space="preserve">Lastly, </w:t>
                  </w:r>
                  <w:r>
                    <w:t>“</w:t>
                  </w:r>
                  <w:r>
                    <w:t>day</w:t>
                  </w:r>
                  <w:r>
                    <w:t>”</w:t>
                  </w:r>
                  <w:r>
                    <w:t xml:space="preserve"> denotes intraday return, which is the return based on </w:t>
                  </w:r>
                  <w:r>
                    <w:rPr>
                      <w:rFonts w:hint="eastAsia"/>
                    </w:rPr>
                    <w:t xml:space="preserve">the </w:t>
                  </w:r>
                  <w:r>
                    <w:t>opening price.</w:t>
                  </w:r>
                </w:p>
                <w:p w:rsidR="006B03CF" w:rsidRDefault="006B03CF">
                  <w:pPr>
                    <w:pStyle w:val="af"/>
                  </w:pP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680"/>
        <w:gridCol w:w="680"/>
        <w:gridCol w:w="680"/>
        <w:gridCol w:w="680"/>
        <w:gridCol w:w="680"/>
        <w:gridCol w:w="680"/>
        <w:gridCol w:w="681"/>
        <w:gridCol w:w="680"/>
        <w:gridCol w:w="680"/>
        <w:gridCol w:w="680"/>
        <w:gridCol w:w="680"/>
        <w:gridCol w:w="276"/>
        <w:gridCol w:w="404"/>
        <w:gridCol w:w="305"/>
        <w:gridCol w:w="708"/>
        <w:gridCol w:w="73"/>
      </w:tblGrid>
      <w:tr w:rsidR="00A44840" w:rsidTr="00172D02">
        <w:trPr>
          <w:gridAfter w:val="1"/>
          <w:wAfter w:w="73" w:type="dxa"/>
          <w:trHeight w:val="360"/>
        </w:trPr>
        <w:tc>
          <w:tcPr>
            <w:tcW w:w="680" w:type="dxa"/>
            <w:tcBorders>
              <w:top w:val="nil"/>
              <w:left w:val="nil"/>
              <w:bottom w:val="nil"/>
              <w:right w:val="nil"/>
              <w:tl2br w:val="nil"/>
              <w:tr2bl w:val="nil"/>
            </w:tcBorders>
            <w:vAlign w:val="center"/>
          </w:tcPr>
          <w:p w:rsidR="00A44840" w:rsidRDefault="00A44840">
            <w:pPr>
              <w:pStyle w:val="af0"/>
            </w:pPr>
          </w:p>
        </w:tc>
        <w:tc>
          <w:tcPr>
            <w:tcW w:w="1360" w:type="dxa"/>
            <w:gridSpan w:val="2"/>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1" w:type="dxa"/>
            <w:tcBorders>
              <w:top w:val="nil"/>
              <w:left w:val="nil"/>
              <w:bottom w:val="nil"/>
              <w:right w:val="nil"/>
              <w:tl2br w:val="nil"/>
              <w:tr2bl w:val="nil"/>
            </w:tcBorders>
            <w:vAlign w:val="center"/>
          </w:tcPr>
          <w:p w:rsidR="00A44840" w:rsidRDefault="00A44840">
            <w:pPr>
              <w:pStyle w:val="af0"/>
            </w:pPr>
          </w:p>
        </w:tc>
        <w:tc>
          <w:tcPr>
            <w:tcW w:w="1360" w:type="dxa"/>
            <w:gridSpan w:val="2"/>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gridSpan w:val="2"/>
            <w:tcBorders>
              <w:top w:val="nil"/>
              <w:left w:val="nil"/>
              <w:bottom w:val="nil"/>
              <w:right w:val="nil"/>
              <w:tl2br w:val="nil"/>
              <w:tr2bl w:val="nil"/>
            </w:tcBorders>
            <w:vAlign w:val="center"/>
          </w:tcPr>
          <w:p w:rsidR="00A44840" w:rsidRDefault="00A44840">
            <w:pPr>
              <w:pStyle w:val="af0"/>
            </w:pPr>
          </w:p>
        </w:tc>
        <w:tc>
          <w:tcPr>
            <w:tcW w:w="1013" w:type="dxa"/>
            <w:gridSpan w:val="2"/>
            <w:tcBorders>
              <w:top w:val="nil"/>
              <w:left w:val="nil"/>
              <w:bottom w:val="nil"/>
              <w:right w:val="nil"/>
              <w:tl2br w:val="nil"/>
              <w:tr2bl w:val="nil"/>
            </w:tcBorders>
            <w:vAlign w:val="center"/>
          </w:tcPr>
          <w:p w:rsidR="00A44840" w:rsidRDefault="00A44840">
            <w:pPr>
              <w:pStyle w:val="af0"/>
            </w:pPr>
          </w:p>
        </w:tc>
      </w:tr>
      <w:tr w:rsidR="00A44840" w:rsidTr="00172D02">
        <w:trPr>
          <w:gridAfter w:val="1"/>
          <w:wAfter w:w="73" w:type="dxa"/>
          <w:trHeight w:val="18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4081" w:type="dxa"/>
            <w:gridSpan w:val="6"/>
            <w:tcBorders>
              <w:top w:val="single" w:sz="3" w:space="0" w:color="000000"/>
              <w:left w:val="nil"/>
              <w:bottom w:val="single" w:sz="3" w:space="0" w:color="000000"/>
              <w:right w:val="double" w:sz="15" w:space="0" w:color="000000"/>
              <w:tl2br w:val="nil"/>
              <w:tr2bl w:val="nil"/>
            </w:tcBorders>
            <w:vAlign w:val="center"/>
          </w:tcPr>
          <w:p w:rsidR="00A44840" w:rsidRDefault="00E445FC" w:rsidP="00E445FC">
            <w:pPr>
              <w:pStyle w:val="af0"/>
            </w:pPr>
            <w:r>
              <w:t>C</w:t>
            </w:r>
            <w:r w:rsidR="00D35F5E">
              <w:t>ash</w:t>
            </w:r>
            <w:r>
              <w:rPr>
                <w:rFonts w:hint="eastAsia"/>
              </w:rPr>
              <w:t xml:space="preserve"> </w:t>
            </w:r>
            <w:r w:rsidR="00D35F5E">
              <w:t>(</w:t>
            </w:r>
            <w:r>
              <w:rPr>
                <w:rFonts w:hint="eastAsia"/>
              </w:rPr>
              <w:t>entire</w:t>
            </w:r>
            <w:r>
              <w:t xml:space="preserve"> </w:t>
            </w:r>
            <w:r w:rsidR="00D35F5E">
              <w:t>period)</w:t>
            </w:r>
          </w:p>
        </w:tc>
        <w:tc>
          <w:tcPr>
            <w:tcW w:w="4413" w:type="dxa"/>
            <w:gridSpan w:val="8"/>
            <w:tcBorders>
              <w:top w:val="single" w:sz="3" w:space="0" w:color="000000"/>
              <w:left w:val="nil"/>
              <w:bottom w:val="single" w:sz="3" w:space="0" w:color="000000"/>
              <w:right w:val="nil"/>
              <w:tl2br w:val="nil"/>
              <w:tr2bl w:val="nil"/>
            </w:tcBorders>
            <w:vAlign w:val="center"/>
          </w:tcPr>
          <w:p w:rsidR="00A44840" w:rsidRDefault="00E445FC" w:rsidP="00E445FC">
            <w:pPr>
              <w:pStyle w:val="af0"/>
            </w:pPr>
            <w:r>
              <w:t>F</w:t>
            </w:r>
            <w:r w:rsidR="00D35F5E">
              <w:t>utures</w:t>
            </w:r>
            <w:r>
              <w:rPr>
                <w:rFonts w:hint="eastAsia"/>
              </w:rPr>
              <w:t xml:space="preserve"> </w:t>
            </w:r>
            <w:r w:rsidR="00D35F5E">
              <w:t>(</w:t>
            </w:r>
            <w:r>
              <w:rPr>
                <w:rFonts w:hint="eastAsia"/>
              </w:rPr>
              <w:t>entire</w:t>
            </w:r>
            <w:r>
              <w:t xml:space="preserve"> </w:t>
            </w:r>
            <w:r w:rsidR="00D35F5E">
              <w:t>period)</w:t>
            </w:r>
          </w:p>
        </w:tc>
      </w:tr>
      <w:tr w:rsidR="00A44840" w:rsidTr="00172D02">
        <w:trPr>
          <w:gridAfter w:val="1"/>
          <w:wAfter w:w="73" w:type="dxa"/>
          <w:trHeight w:val="16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A44840">
            <w:pPr>
              <w:pStyle w:val="af0"/>
            </w:pP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F</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956"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709"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708" w:type="dxa"/>
            <w:tcBorders>
              <w:top w:val="single" w:sz="3" w:space="0" w:color="000000"/>
              <w:left w:val="nil"/>
              <w:bottom w:val="single" w:sz="3" w:space="0" w:color="000000"/>
              <w:right w:val="nil"/>
              <w:tl2br w:val="nil"/>
              <w:tr2bl w:val="nil"/>
            </w:tcBorders>
            <w:vAlign w:val="center"/>
          </w:tcPr>
          <w:p w:rsidR="00A44840" w:rsidRDefault="00D35F5E">
            <w:pPr>
              <w:pStyle w:val="af0"/>
            </w:pPr>
            <w:r>
              <w:t>F</w:t>
            </w:r>
          </w:p>
        </w:tc>
      </w:tr>
      <w:tr w:rsidR="00A44840" w:rsidTr="00172D02">
        <w:trPr>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4.13**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57.58**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3,315**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0.5548</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26.33**</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0.19</w:t>
            </w:r>
          </w:p>
        </w:tc>
        <w:tc>
          <w:tcPr>
            <w:tcW w:w="781" w:type="dxa"/>
            <w:gridSpan w:val="2"/>
            <w:tcBorders>
              <w:top w:val="nil"/>
              <w:left w:val="nil"/>
              <w:bottom w:val="nil"/>
              <w:right w:val="nil"/>
              <w:tl2br w:val="nil"/>
              <w:tr2bl w:val="nil"/>
            </w:tcBorders>
            <w:vAlign w:val="center"/>
          </w:tcPr>
          <w:p w:rsidR="00A44840" w:rsidRDefault="00D35F5E">
            <w:pPr>
              <w:pStyle w:val="af0"/>
            </w:pPr>
            <w:r>
              <w:t>693**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50.49**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2,549**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0.5653</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25.75**</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0.19</w:t>
            </w:r>
          </w:p>
        </w:tc>
        <w:tc>
          <w:tcPr>
            <w:tcW w:w="708" w:type="dxa"/>
            <w:tcBorders>
              <w:top w:val="nil"/>
              <w:left w:val="nil"/>
              <w:bottom w:val="nil"/>
              <w:right w:val="nil"/>
              <w:tl2br w:val="nil"/>
              <w:tr2bl w:val="nil"/>
            </w:tcBorders>
            <w:vAlign w:val="center"/>
          </w:tcPr>
          <w:p w:rsidR="00A44840" w:rsidRDefault="00D35F5E">
            <w:pPr>
              <w:pStyle w:val="af0"/>
            </w:pPr>
            <w:r>
              <w:t>663**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0.0256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46.82**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2,192**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0.5612</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25.00**</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0.18</w:t>
            </w:r>
          </w:p>
        </w:tc>
        <w:tc>
          <w:tcPr>
            <w:tcW w:w="708" w:type="dxa"/>
            <w:tcBorders>
              <w:top w:val="nil"/>
              <w:left w:val="nil"/>
              <w:bottom w:val="nil"/>
              <w:right w:val="nil"/>
              <w:tl2br w:val="nil"/>
              <w:tr2bl w:val="nil"/>
            </w:tcBorders>
            <w:vAlign w:val="center"/>
          </w:tcPr>
          <w:p w:rsidR="00A44840" w:rsidRDefault="00D35F5E">
            <w:pPr>
              <w:pStyle w:val="af0"/>
            </w:pPr>
            <w:r>
              <w:t>625**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9:45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44.59**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1,988**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0.5441</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23.94**</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0.17</w:t>
            </w:r>
          </w:p>
        </w:tc>
        <w:tc>
          <w:tcPr>
            <w:tcW w:w="708" w:type="dxa"/>
            <w:tcBorders>
              <w:top w:val="nil"/>
              <w:left w:val="nil"/>
              <w:bottom w:val="nil"/>
              <w:right w:val="nil"/>
              <w:tl2br w:val="nil"/>
              <w:tr2bl w:val="nil"/>
            </w:tcBorders>
            <w:vAlign w:val="center"/>
          </w:tcPr>
          <w:p w:rsidR="00A44840" w:rsidRDefault="00D35F5E">
            <w:pPr>
              <w:pStyle w:val="af0"/>
            </w:pPr>
            <w:r>
              <w:t>573**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42.15**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1,777**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0.5382</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23.26**</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0.16</w:t>
            </w:r>
          </w:p>
        </w:tc>
        <w:tc>
          <w:tcPr>
            <w:tcW w:w="708" w:type="dxa"/>
            <w:tcBorders>
              <w:top w:val="nil"/>
              <w:left w:val="nil"/>
              <w:bottom w:val="nil"/>
              <w:right w:val="nil"/>
              <w:tl2br w:val="nil"/>
              <w:tr2bl w:val="nil"/>
            </w:tcBorders>
            <w:vAlign w:val="center"/>
          </w:tcPr>
          <w:p w:rsidR="00A44840" w:rsidRDefault="00D35F5E">
            <w:pPr>
              <w:pStyle w:val="af0"/>
            </w:pPr>
            <w:r>
              <w:t>541**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40.65**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1,652**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0.5299</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22.75**</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0.15</w:t>
            </w:r>
          </w:p>
        </w:tc>
        <w:tc>
          <w:tcPr>
            <w:tcW w:w="708" w:type="dxa"/>
            <w:tcBorders>
              <w:top w:val="nil"/>
              <w:left w:val="nil"/>
              <w:bottom w:val="nil"/>
              <w:right w:val="nil"/>
              <w:tl2br w:val="nil"/>
              <w:tr2bl w:val="nil"/>
            </w:tcBorders>
            <w:vAlign w:val="center"/>
          </w:tcPr>
          <w:p w:rsidR="00A44840" w:rsidRDefault="00D35F5E">
            <w:pPr>
              <w:pStyle w:val="af0"/>
            </w:pPr>
            <w:r>
              <w:t>518**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39.70**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1,576**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0.5276</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22.36**</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0.15</w:t>
            </w:r>
          </w:p>
        </w:tc>
        <w:tc>
          <w:tcPr>
            <w:tcW w:w="708" w:type="dxa"/>
            <w:tcBorders>
              <w:top w:val="nil"/>
              <w:left w:val="nil"/>
              <w:bottom w:val="nil"/>
              <w:right w:val="nil"/>
              <w:tl2br w:val="nil"/>
              <w:tr2bl w:val="nil"/>
            </w:tcBorders>
            <w:vAlign w:val="center"/>
          </w:tcPr>
          <w:p w:rsidR="00A44840" w:rsidRDefault="00D35F5E">
            <w:pPr>
              <w:pStyle w:val="af0"/>
            </w:pPr>
            <w:r>
              <w:t>500**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0.0167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38.15**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1,455**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0.5217</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21.95**</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708" w:type="dxa"/>
            <w:tcBorders>
              <w:top w:val="nil"/>
              <w:left w:val="nil"/>
              <w:bottom w:val="nil"/>
              <w:right w:val="nil"/>
              <w:tl2br w:val="nil"/>
              <w:tr2bl w:val="nil"/>
            </w:tcBorders>
            <w:vAlign w:val="center"/>
          </w:tcPr>
          <w:p w:rsidR="00A44840" w:rsidRDefault="00D35F5E">
            <w:pPr>
              <w:pStyle w:val="af0"/>
            </w:pPr>
            <w:r>
              <w:t>482**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35.76**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1,279**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0.5104</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21.13**</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708" w:type="dxa"/>
            <w:tcBorders>
              <w:top w:val="nil"/>
              <w:left w:val="nil"/>
              <w:bottom w:val="nil"/>
              <w:right w:val="nil"/>
              <w:tl2br w:val="nil"/>
              <w:tr2bl w:val="nil"/>
            </w:tcBorders>
            <w:vAlign w:val="center"/>
          </w:tcPr>
          <w:p w:rsidR="00A44840" w:rsidRDefault="00D35F5E">
            <w:pPr>
              <w:pStyle w:val="af0"/>
            </w:pPr>
            <w:r>
              <w:t>446**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34.04**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1,159**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0.4956</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20.33**</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708" w:type="dxa"/>
            <w:tcBorders>
              <w:top w:val="nil"/>
              <w:left w:val="nil"/>
              <w:bottom w:val="nil"/>
              <w:right w:val="nil"/>
              <w:tl2br w:val="nil"/>
              <w:tr2bl w:val="nil"/>
            </w:tcBorders>
            <w:vAlign w:val="center"/>
          </w:tcPr>
          <w:p w:rsidR="00A44840" w:rsidRDefault="00D35F5E">
            <w:pPr>
              <w:pStyle w:val="af0"/>
            </w:pPr>
            <w:r>
              <w:t>413**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33.12**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1,097**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0.4919</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19.98**</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nil"/>
              <w:tl2br w:val="nil"/>
              <w:tr2bl w:val="nil"/>
            </w:tcBorders>
            <w:vAlign w:val="center"/>
          </w:tcPr>
          <w:p w:rsidR="00A44840" w:rsidRDefault="00D35F5E">
            <w:pPr>
              <w:pStyle w:val="af0"/>
            </w:pPr>
            <w:r>
              <w:t>399**</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32.81**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1,077**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0.4934</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19.84**</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nil"/>
              <w:tl2br w:val="nil"/>
              <w:tr2bl w:val="nil"/>
            </w:tcBorders>
            <w:vAlign w:val="center"/>
          </w:tcPr>
          <w:p w:rsidR="00A44840" w:rsidRDefault="00D35F5E">
            <w:pPr>
              <w:pStyle w:val="af0"/>
            </w:pPr>
            <w:r>
              <w:t>394**</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-0.0085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0.5452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33.17**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1,100**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0.5044</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20.26**</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nil"/>
              <w:tl2br w:val="nil"/>
              <w:tr2bl w:val="nil"/>
            </w:tcBorders>
            <w:vAlign w:val="center"/>
          </w:tcPr>
          <w:p w:rsidR="00A44840" w:rsidRDefault="00D35F5E">
            <w:pPr>
              <w:pStyle w:val="af0"/>
            </w:pPr>
            <w:r>
              <w:t>411**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0.5429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32.23**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1,039**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0.4986</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19.86**</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nil"/>
              <w:tl2br w:val="nil"/>
              <w:tr2bl w:val="nil"/>
            </w:tcBorders>
            <w:vAlign w:val="center"/>
          </w:tcPr>
          <w:p w:rsidR="00A44840" w:rsidRDefault="00D35F5E">
            <w:pPr>
              <w:pStyle w:val="af0"/>
            </w:pPr>
            <w:r>
              <w:t>395**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31.32**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981**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0.4939</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19.43**</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nil"/>
              <w:tl2br w:val="nil"/>
              <w:tr2bl w:val="nil"/>
            </w:tcBorders>
            <w:vAlign w:val="center"/>
          </w:tcPr>
          <w:p w:rsidR="00A44840" w:rsidRDefault="00D35F5E">
            <w:pPr>
              <w:pStyle w:val="af0"/>
            </w:pPr>
            <w:r>
              <w:t>378**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29.93**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896**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0.4812</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18.75**</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0.11</w:t>
            </w:r>
          </w:p>
        </w:tc>
        <w:tc>
          <w:tcPr>
            <w:tcW w:w="708" w:type="dxa"/>
            <w:tcBorders>
              <w:top w:val="nil"/>
              <w:left w:val="nil"/>
              <w:bottom w:val="nil"/>
              <w:right w:val="nil"/>
              <w:tl2br w:val="nil"/>
              <w:tr2bl w:val="nil"/>
            </w:tcBorders>
            <w:vAlign w:val="center"/>
          </w:tcPr>
          <w:p w:rsidR="00A44840" w:rsidRDefault="00D35F5E">
            <w:pPr>
              <w:pStyle w:val="af0"/>
            </w:pPr>
            <w:r>
              <w:t>352**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29.11**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847**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0.4793</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18.48**</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0.11</w:t>
            </w:r>
          </w:p>
        </w:tc>
        <w:tc>
          <w:tcPr>
            <w:tcW w:w="708" w:type="dxa"/>
            <w:tcBorders>
              <w:top w:val="nil"/>
              <w:left w:val="nil"/>
              <w:bottom w:val="nil"/>
              <w:right w:val="nil"/>
              <w:tl2br w:val="nil"/>
              <w:tr2bl w:val="nil"/>
            </w:tcBorders>
            <w:vAlign w:val="center"/>
          </w:tcPr>
          <w:p w:rsidR="00A44840" w:rsidRDefault="00D35F5E">
            <w:pPr>
              <w:pStyle w:val="af0"/>
            </w:pPr>
            <w:r>
              <w:t>342**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0.5163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27.72**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0.4721</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17.94**</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708" w:type="dxa"/>
            <w:tcBorders>
              <w:top w:val="nil"/>
              <w:left w:val="nil"/>
              <w:bottom w:val="nil"/>
              <w:right w:val="nil"/>
              <w:tl2br w:val="nil"/>
              <w:tr2bl w:val="nil"/>
            </w:tcBorders>
            <w:vAlign w:val="center"/>
          </w:tcPr>
          <w:p w:rsidR="00A44840" w:rsidRDefault="00D35F5E">
            <w:pPr>
              <w:pStyle w:val="af0"/>
            </w:pPr>
            <w:r>
              <w:t>322**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0.4548</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17.03**</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708" w:type="dxa"/>
            <w:tcBorders>
              <w:top w:val="nil"/>
              <w:left w:val="nil"/>
              <w:bottom w:val="nil"/>
              <w:right w:val="nil"/>
              <w:tl2br w:val="nil"/>
              <w:tr2bl w:val="nil"/>
            </w:tcBorders>
            <w:vAlign w:val="center"/>
          </w:tcPr>
          <w:p w:rsidR="00A44840" w:rsidRDefault="00D35F5E">
            <w:pPr>
              <w:pStyle w:val="af0"/>
            </w:pPr>
            <w:r>
              <w:t>290**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0.4531</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16.92**</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708" w:type="dxa"/>
            <w:tcBorders>
              <w:top w:val="nil"/>
              <w:left w:val="nil"/>
              <w:bottom w:val="nil"/>
              <w:right w:val="nil"/>
              <w:tl2br w:val="nil"/>
              <w:tr2bl w:val="nil"/>
            </w:tcBorders>
            <w:vAlign w:val="center"/>
          </w:tcPr>
          <w:p w:rsidR="00A44840" w:rsidRDefault="00D35F5E">
            <w:pPr>
              <w:pStyle w:val="af0"/>
            </w:pPr>
            <w:r>
              <w:t>286**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0.4442</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16.39**</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708" w:type="dxa"/>
            <w:tcBorders>
              <w:top w:val="nil"/>
              <w:left w:val="nil"/>
              <w:bottom w:val="nil"/>
              <w:right w:val="nil"/>
              <w:tl2br w:val="nil"/>
              <w:tr2bl w:val="nil"/>
            </w:tcBorders>
            <w:vAlign w:val="center"/>
          </w:tcPr>
          <w:p w:rsidR="00A44840" w:rsidRDefault="00D35F5E">
            <w:pPr>
              <w:pStyle w:val="af0"/>
            </w:pPr>
            <w:r>
              <w:t>269**</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-0.0063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0.4405</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15.91**</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253**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14:30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564**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0.4459</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16.07**</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258**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0.4649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0.4320</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15.29**</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708" w:type="dxa"/>
            <w:tcBorders>
              <w:top w:val="nil"/>
              <w:left w:val="nil"/>
              <w:bottom w:val="nil"/>
              <w:right w:val="nil"/>
              <w:tl2br w:val="nil"/>
              <w:tr2bl w:val="nil"/>
            </w:tcBorders>
            <w:vAlign w:val="center"/>
          </w:tcPr>
          <w:p w:rsidR="00A44840" w:rsidRDefault="00D35F5E">
            <w:pPr>
              <w:pStyle w:val="af0"/>
            </w:pPr>
            <w:r>
              <w:t>234**</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0.4344</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15.32**</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235**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0.4631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21.63**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0.4413</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15.55**</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242**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0.4404</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15.42**</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238**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0.4453</w:t>
            </w:r>
          </w:p>
        </w:tc>
        <w:tc>
          <w:tcPr>
            <w:tcW w:w="956" w:type="dxa"/>
            <w:gridSpan w:val="2"/>
            <w:tcBorders>
              <w:top w:val="nil"/>
              <w:left w:val="nil"/>
              <w:bottom w:val="nil"/>
              <w:right w:val="single" w:sz="3" w:space="0" w:color="000000"/>
              <w:tl2br w:val="nil"/>
              <w:tr2bl w:val="nil"/>
            </w:tcBorders>
            <w:vAlign w:val="center"/>
          </w:tcPr>
          <w:p w:rsidR="00A44840" w:rsidRDefault="00D35F5E">
            <w:pPr>
              <w:pStyle w:val="af0"/>
            </w:pPr>
            <w:r>
              <w:t>15.46**</w:t>
            </w:r>
          </w:p>
        </w:tc>
        <w:tc>
          <w:tcPr>
            <w:tcW w:w="709"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708" w:type="dxa"/>
            <w:tcBorders>
              <w:top w:val="nil"/>
              <w:left w:val="nil"/>
              <w:bottom w:val="nil"/>
              <w:right w:val="nil"/>
              <w:tl2br w:val="nil"/>
              <w:tr2bl w:val="nil"/>
            </w:tcBorders>
            <w:vAlign w:val="center"/>
          </w:tcPr>
          <w:p w:rsidR="00A44840" w:rsidRDefault="00D35F5E">
            <w:pPr>
              <w:pStyle w:val="af0"/>
            </w:pPr>
            <w:r>
              <w:t>239**</w:t>
            </w:r>
          </w:p>
        </w:tc>
      </w:tr>
      <w:tr w:rsidR="00A44840" w:rsidTr="00172D02">
        <w:trPr>
          <w:gridAfter w:val="1"/>
          <w:wAfter w:w="73" w:type="dxa"/>
          <w:trHeight w:val="34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day</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-0.0158</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-0.66</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-0.1592</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-9.14**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0.03</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84**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-0.0006</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-0.02</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-0.1095</w:t>
            </w:r>
          </w:p>
        </w:tc>
        <w:tc>
          <w:tcPr>
            <w:tcW w:w="956"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-5.82**</w:t>
            </w:r>
          </w:p>
        </w:tc>
        <w:tc>
          <w:tcPr>
            <w:tcW w:w="709"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0.01</w:t>
            </w:r>
          </w:p>
        </w:tc>
        <w:tc>
          <w:tcPr>
            <w:tcW w:w="708" w:type="dxa"/>
            <w:tcBorders>
              <w:top w:val="single" w:sz="3" w:space="0" w:color="000000"/>
              <w:left w:val="nil"/>
              <w:bottom w:val="single" w:sz="3" w:space="0" w:color="000000"/>
              <w:right w:val="nil"/>
              <w:tl2br w:val="nil"/>
              <w:tr2bl w:val="nil"/>
            </w:tcBorders>
            <w:vAlign w:val="center"/>
          </w:tcPr>
          <w:p w:rsidR="00A44840" w:rsidRDefault="00D35F5E">
            <w:pPr>
              <w:pStyle w:val="af0"/>
            </w:pPr>
            <w:r>
              <w:t>34**</w:t>
            </w:r>
          </w:p>
        </w:tc>
      </w:tr>
      <w:tr w:rsidR="00A44840" w:rsidTr="00172D02">
        <w:trPr>
          <w:gridAfter w:val="1"/>
          <w:wAfter w:w="73" w:type="dxa"/>
          <w:trHeight w:val="180"/>
        </w:trPr>
        <w:tc>
          <w:tcPr>
            <w:tcW w:w="680" w:type="dxa"/>
            <w:tcBorders>
              <w:top w:val="nil"/>
              <w:left w:val="nil"/>
              <w:bottom w:val="nil"/>
              <w:right w:val="nil"/>
              <w:tl2br w:val="nil"/>
              <w:tr2bl w:val="nil"/>
            </w:tcBorders>
            <w:vAlign w:val="center"/>
          </w:tcPr>
          <w:p w:rsidR="00A44840" w:rsidRDefault="00A44840">
            <w:pPr>
              <w:pStyle w:val="af0"/>
            </w:pPr>
          </w:p>
        </w:tc>
        <w:tc>
          <w:tcPr>
            <w:tcW w:w="1360" w:type="dxa"/>
            <w:gridSpan w:val="2"/>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681" w:type="dxa"/>
            <w:tcBorders>
              <w:top w:val="nil"/>
              <w:left w:val="nil"/>
              <w:bottom w:val="nil"/>
              <w:right w:val="nil"/>
              <w:tl2br w:val="nil"/>
              <w:tr2bl w:val="nil"/>
            </w:tcBorders>
            <w:vAlign w:val="center"/>
          </w:tcPr>
          <w:p w:rsidR="00A44840" w:rsidRDefault="00A44840">
            <w:pPr>
              <w:pStyle w:val="af0"/>
            </w:pPr>
          </w:p>
        </w:tc>
        <w:tc>
          <w:tcPr>
            <w:tcW w:w="1360" w:type="dxa"/>
            <w:gridSpan w:val="2"/>
            <w:tcBorders>
              <w:top w:val="nil"/>
              <w:left w:val="nil"/>
              <w:bottom w:val="nil"/>
              <w:right w:val="nil"/>
              <w:tl2br w:val="nil"/>
              <w:tr2bl w:val="nil"/>
            </w:tcBorders>
            <w:vAlign w:val="center"/>
          </w:tcPr>
          <w:p w:rsidR="00A44840" w:rsidRDefault="00A44840">
            <w:pPr>
              <w:pStyle w:val="af0"/>
            </w:pPr>
          </w:p>
        </w:tc>
        <w:tc>
          <w:tcPr>
            <w:tcW w:w="680" w:type="dxa"/>
            <w:tcBorders>
              <w:top w:val="nil"/>
              <w:left w:val="nil"/>
              <w:bottom w:val="nil"/>
              <w:right w:val="nil"/>
              <w:tl2br w:val="nil"/>
              <w:tr2bl w:val="nil"/>
            </w:tcBorders>
            <w:vAlign w:val="center"/>
          </w:tcPr>
          <w:p w:rsidR="00A44840" w:rsidRDefault="00A44840">
            <w:pPr>
              <w:pStyle w:val="af0"/>
            </w:pPr>
          </w:p>
        </w:tc>
        <w:tc>
          <w:tcPr>
            <w:tcW w:w="956" w:type="dxa"/>
            <w:gridSpan w:val="2"/>
            <w:tcBorders>
              <w:top w:val="nil"/>
              <w:left w:val="nil"/>
              <w:bottom w:val="nil"/>
              <w:right w:val="nil"/>
              <w:tl2br w:val="nil"/>
              <w:tr2bl w:val="nil"/>
            </w:tcBorders>
            <w:vAlign w:val="center"/>
          </w:tcPr>
          <w:p w:rsidR="00A44840" w:rsidRDefault="00A44840">
            <w:pPr>
              <w:pStyle w:val="af0"/>
            </w:pPr>
          </w:p>
        </w:tc>
        <w:tc>
          <w:tcPr>
            <w:tcW w:w="709" w:type="dxa"/>
            <w:gridSpan w:val="2"/>
            <w:tcBorders>
              <w:top w:val="nil"/>
              <w:left w:val="nil"/>
              <w:bottom w:val="nil"/>
              <w:right w:val="nil"/>
              <w:tl2br w:val="nil"/>
              <w:tr2bl w:val="nil"/>
            </w:tcBorders>
            <w:vAlign w:val="center"/>
          </w:tcPr>
          <w:p w:rsidR="00A44840" w:rsidRDefault="00A44840">
            <w:pPr>
              <w:pStyle w:val="af0"/>
            </w:pPr>
          </w:p>
        </w:tc>
        <w:tc>
          <w:tcPr>
            <w:tcW w:w="708" w:type="dxa"/>
            <w:tcBorders>
              <w:top w:val="nil"/>
              <w:left w:val="nil"/>
              <w:bottom w:val="nil"/>
              <w:right w:val="nil"/>
              <w:tl2br w:val="nil"/>
              <w:tr2bl w:val="nil"/>
            </w:tcBorders>
            <w:vAlign w:val="center"/>
          </w:tcPr>
          <w:p w:rsidR="00A44840" w:rsidRDefault="00A44840">
            <w:pPr>
              <w:pStyle w:val="af0"/>
            </w:pPr>
          </w:p>
        </w:tc>
      </w:tr>
      <w:tr w:rsidR="00A44840" w:rsidTr="00172D02">
        <w:trPr>
          <w:gridAfter w:val="1"/>
          <w:wAfter w:w="73" w:type="dxa"/>
          <w:trHeight w:val="160"/>
        </w:trPr>
        <w:tc>
          <w:tcPr>
            <w:tcW w:w="680" w:type="dxa"/>
            <w:tcBorders>
              <w:top w:val="nil"/>
              <w:left w:val="nil"/>
              <w:bottom w:val="nil"/>
              <w:right w:val="nil"/>
              <w:tl2br w:val="nil"/>
              <w:tr2bl w:val="nil"/>
            </w:tcBorders>
            <w:vAlign w:val="center"/>
          </w:tcPr>
          <w:p w:rsidR="00A44840" w:rsidRDefault="00A44840">
            <w:pPr>
              <w:pStyle w:val="af0"/>
            </w:pPr>
          </w:p>
        </w:tc>
        <w:tc>
          <w:tcPr>
            <w:tcW w:w="4081" w:type="dxa"/>
            <w:gridSpan w:val="6"/>
            <w:tcBorders>
              <w:top w:val="nil"/>
              <w:left w:val="nil"/>
              <w:bottom w:val="nil"/>
              <w:right w:val="nil"/>
              <w:tl2br w:val="nil"/>
              <w:tr2bl w:val="nil"/>
            </w:tcBorders>
            <w:vAlign w:val="center"/>
          </w:tcPr>
          <w:p w:rsidR="00A44840" w:rsidRDefault="00D35F5E" w:rsidP="00E445FC">
            <w:pPr>
              <w:pStyle w:val="af0"/>
            </w:pPr>
            <w:r>
              <w:t>cash (</w:t>
            </w:r>
            <w:r w:rsidR="00E445FC">
              <w:rPr>
                <w:rFonts w:hint="eastAsia"/>
              </w:rPr>
              <w:t>pre-</w:t>
            </w:r>
            <w:r>
              <w:t>crisis)</w:t>
            </w:r>
          </w:p>
        </w:tc>
        <w:tc>
          <w:tcPr>
            <w:tcW w:w="4413" w:type="dxa"/>
            <w:gridSpan w:val="8"/>
            <w:tcBorders>
              <w:top w:val="nil"/>
              <w:left w:val="nil"/>
              <w:bottom w:val="nil"/>
              <w:right w:val="nil"/>
              <w:tl2br w:val="nil"/>
              <w:tr2bl w:val="nil"/>
            </w:tcBorders>
            <w:vAlign w:val="center"/>
          </w:tcPr>
          <w:p w:rsidR="00A44840" w:rsidRDefault="00E445FC" w:rsidP="00E445FC">
            <w:pPr>
              <w:pStyle w:val="af0"/>
            </w:pPr>
            <w:r>
              <w:t>F</w:t>
            </w:r>
            <w:r w:rsidR="00D35F5E">
              <w:t>utures</w:t>
            </w:r>
            <w:r>
              <w:rPr>
                <w:rFonts w:hint="eastAsia"/>
              </w:rPr>
              <w:t xml:space="preserve"> </w:t>
            </w:r>
            <w:r w:rsidR="00D35F5E">
              <w:t>(</w:t>
            </w:r>
            <w:r>
              <w:rPr>
                <w:rFonts w:hint="eastAsia"/>
              </w:rPr>
              <w:t>pre-</w:t>
            </w:r>
            <w:r w:rsidR="00D35F5E">
              <w:t>crisis)</w:t>
            </w:r>
          </w:p>
        </w:tc>
      </w:tr>
      <w:tr w:rsidR="00A44840" w:rsidTr="00172D02">
        <w:trPr>
          <w:gridAfter w:val="1"/>
          <w:wAfter w:w="73" w:type="dxa"/>
          <w:trHeight w:val="34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F</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680"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1013" w:type="dxa"/>
            <w:gridSpan w:val="2"/>
            <w:tcBorders>
              <w:top w:val="single" w:sz="3" w:space="0" w:color="000000"/>
              <w:left w:val="nil"/>
              <w:bottom w:val="single" w:sz="3" w:space="0" w:color="000000"/>
              <w:right w:val="nil"/>
              <w:tl2br w:val="nil"/>
              <w:tr2bl w:val="nil"/>
            </w:tcBorders>
            <w:vAlign w:val="center"/>
          </w:tcPr>
          <w:p w:rsidR="00A44840" w:rsidRDefault="00D35F5E">
            <w:pPr>
              <w:pStyle w:val="af0"/>
            </w:pPr>
            <w:r>
              <w:t>F</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3.43**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0.7224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39.12**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1,531**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0.6681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28.38**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0.33</w:t>
            </w:r>
          </w:p>
        </w:tc>
        <w:tc>
          <w:tcPr>
            <w:tcW w:w="1013" w:type="dxa"/>
            <w:gridSpan w:val="2"/>
            <w:tcBorders>
              <w:top w:val="nil"/>
              <w:left w:val="nil"/>
              <w:bottom w:val="nil"/>
              <w:right w:val="nil"/>
              <w:tl2br w:val="nil"/>
              <w:tr2bl w:val="nil"/>
            </w:tcBorders>
            <w:vAlign w:val="center"/>
          </w:tcPr>
          <w:p w:rsidR="00A44840" w:rsidRDefault="00D35F5E">
            <w:pPr>
              <w:pStyle w:val="af0"/>
            </w:pPr>
            <w:r>
              <w:t>806**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0.7007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33.05**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0.40</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1,093**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0.6837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26.16**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0.30</w:t>
            </w:r>
          </w:p>
        </w:tc>
        <w:tc>
          <w:tcPr>
            <w:tcW w:w="1013" w:type="dxa"/>
            <w:gridSpan w:val="2"/>
            <w:tcBorders>
              <w:top w:val="nil"/>
              <w:left w:val="nil"/>
              <w:bottom w:val="nil"/>
              <w:right w:val="nil"/>
              <w:tl2br w:val="nil"/>
              <w:tr2bl w:val="nil"/>
            </w:tcBorders>
            <w:vAlign w:val="center"/>
          </w:tcPr>
          <w:p w:rsidR="00A44840" w:rsidRDefault="00D35F5E">
            <w:pPr>
              <w:pStyle w:val="af0"/>
            </w:pPr>
            <w:r>
              <w:t>684**</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0.0331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0.6732</w:t>
            </w:r>
          </w:p>
        </w:tc>
        <w:tc>
          <w:tcPr>
            <w:tcW w:w="680" w:type="dxa"/>
            <w:tcBorders>
              <w:top w:val="nil"/>
              <w:left w:val="nil"/>
              <w:bottom w:val="nil"/>
              <w:right w:val="single" w:sz="3" w:space="0" w:color="000000"/>
              <w:tl2br w:val="nil"/>
              <w:tr2bl w:val="nil"/>
            </w:tcBorders>
            <w:vAlign w:val="center"/>
          </w:tcPr>
          <w:p w:rsidR="00A44840" w:rsidRDefault="00D35F5E">
            <w:pPr>
              <w:pStyle w:val="af0"/>
            </w:pPr>
            <w:r>
              <w:t>30.41**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925**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0.6575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24.08**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0.26</w:t>
            </w:r>
          </w:p>
        </w:tc>
        <w:tc>
          <w:tcPr>
            <w:tcW w:w="1013" w:type="dxa"/>
            <w:gridSpan w:val="2"/>
            <w:tcBorders>
              <w:top w:val="nil"/>
              <w:left w:val="nil"/>
              <w:bottom w:val="nil"/>
              <w:right w:val="nil"/>
              <w:tl2br w:val="nil"/>
              <w:tr2bl w:val="nil"/>
            </w:tcBorders>
            <w:vAlign w:val="center"/>
          </w:tcPr>
          <w:p w:rsidR="00A44840" w:rsidRDefault="00D35F5E">
            <w:pPr>
              <w:pStyle w:val="af0"/>
            </w:pPr>
            <w:r>
              <w:t>580**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0.0395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0.6665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29.75**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885**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2.71**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0.6533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23.09**</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0.25</w:t>
            </w:r>
          </w:p>
        </w:tc>
        <w:tc>
          <w:tcPr>
            <w:tcW w:w="1013" w:type="dxa"/>
            <w:gridSpan w:val="2"/>
            <w:tcBorders>
              <w:top w:val="nil"/>
              <w:left w:val="nil"/>
              <w:bottom w:val="nil"/>
              <w:right w:val="nil"/>
              <w:tl2br w:val="nil"/>
              <w:tr2bl w:val="nil"/>
            </w:tcBorders>
            <w:vAlign w:val="center"/>
          </w:tcPr>
          <w:p w:rsidR="00A44840" w:rsidRDefault="00D35F5E">
            <w:pPr>
              <w:pStyle w:val="af0"/>
            </w:pPr>
            <w:r>
              <w:t>533**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0.6577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28.21**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0.6454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21.96**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0.23</w:t>
            </w:r>
          </w:p>
        </w:tc>
        <w:tc>
          <w:tcPr>
            <w:tcW w:w="1013" w:type="dxa"/>
            <w:gridSpan w:val="2"/>
            <w:tcBorders>
              <w:top w:val="nil"/>
              <w:left w:val="nil"/>
              <w:bottom w:val="nil"/>
              <w:right w:val="nil"/>
              <w:tl2br w:val="nil"/>
              <w:tr2bl w:val="nil"/>
            </w:tcBorders>
            <w:vAlign w:val="center"/>
          </w:tcPr>
          <w:p w:rsidR="00A44840" w:rsidRDefault="00D35F5E">
            <w:pPr>
              <w:pStyle w:val="af0"/>
            </w:pPr>
            <w:r>
              <w:t>482**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0.6583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27.65**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0.0952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2.99**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0.6434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21.58**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0.22</w:t>
            </w:r>
          </w:p>
        </w:tc>
        <w:tc>
          <w:tcPr>
            <w:tcW w:w="1013" w:type="dxa"/>
            <w:gridSpan w:val="2"/>
            <w:tcBorders>
              <w:top w:val="nil"/>
              <w:left w:val="nil"/>
              <w:bottom w:val="nil"/>
              <w:right w:val="nil"/>
              <w:tl2br w:val="nil"/>
              <w:tr2bl w:val="nil"/>
            </w:tcBorders>
            <w:vAlign w:val="center"/>
          </w:tcPr>
          <w:p w:rsidR="00A44840" w:rsidRDefault="00D35F5E">
            <w:pPr>
              <w:pStyle w:val="af0"/>
            </w:pPr>
            <w:r>
              <w:t>466**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0.6544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0.0885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2.71**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0.6314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20.66**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0.21</w:t>
            </w:r>
          </w:p>
        </w:tc>
        <w:tc>
          <w:tcPr>
            <w:tcW w:w="1013" w:type="dxa"/>
            <w:gridSpan w:val="2"/>
            <w:tcBorders>
              <w:top w:val="nil"/>
              <w:left w:val="nil"/>
              <w:bottom w:val="nil"/>
              <w:right w:val="nil"/>
              <w:tl2br w:val="nil"/>
              <w:tr2bl w:val="nil"/>
            </w:tcBorders>
            <w:vAlign w:val="center"/>
          </w:tcPr>
          <w:p w:rsidR="00A44840" w:rsidRDefault="00D35F5E">
            <w:pPr>
              <w:pStyle w:val="af0"/>
            </w:pPr>
            <w:r>
              <w:t>427**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0.6470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0.0863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20.20**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0.20</w:t>
            </w:r>
          </w:p>
        </w:tc>
        <w:tc>
          <w:tcPr>
            <w:tcW w:w="1013" w:type="dxa"/>
            <w:gridSpan w:val="2"/>
            <w:tcBorders>
              <w:top w:val="nil"/>
              <w:left w:val="nil"/>
              <w:bottom w:val="nil"/>
              <w:right w:val="nil"/>
              <w:tl2br w:val="nil"/>
              <w:tr2bl w:val="nil"/>
            </w:tcBorders>
            <w:vAlign w:val="center"/>
          </w:tcPr>
          <w:p w:rsidR="00A44840" w:rsidRDefault="00D35F5E">
            <w:pPr>
              <w:pStyle w:val="af0"/>
            </w:pPr>
            <w:r>
              <w:t>408**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0.6326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0.6107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19.43**</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0.19</w:t>
            </w:r>
          </w:p>
        </w:tc>
        <w:tc>
          <w:tcPr>
            <w:tcW w:w="1013" w:type="dxa"/>
            <w:gridSpan w:val="2"/>
            <w:tcBorders>
              <w:top w:val="nil"/>
              <w:left w:val="nil"/>
              <w:bottom w:val="nil"/>
              <w:right w:val="nil"/>
              <w:tl2br w:val="nil"/>
              <w:tr2bl w:val="nil"/>
            </w:tcBorders>
            <w:vAlign w:val="center"/>
          </w:tcPr>
          <w:p w:rsidR="00A44840" w:rsidRDefault="00D35F5E">
            <w:pPr>
              <w:pStyle w:val="af0"/>
            </w:pPr>
            <w:r>
              <w:t>378**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18.85**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0.18</w:t>
            </w:r>
          </w:p>
        </w:tc>
        <w:tc>
          <w:tcPr>
            <w:tcW w:w="1013" w:type="dxa"/>
            <w:gridSpan w:val="2"/>
            <w:tcBorders>
              <w:top w:val="nil"/>
              <w:left w:val="nil"/>
              <w:bottom w:val="nil"/>
              <w:right w:val="nil"/>
              <w:tl2br w:val="nil"/>
              <w:tr2bl w:val="nil"/>
            </w:tcBorders>
            <w:vAlign w:val="center"/>
          </w:tcPr>
          <w:p w:rsidR="00A44840" w:rsidRDefault="00D35F5E">
            <w:pPr>
              <w:pStyle w:val="af0"/>
            </w:pPr>
            <w:r>
              <w:t>355**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18.23**</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0.17</w:t>
            </w:r>
          </w:p>
        </w:tc>
        <w:tc>
          <w:tcPr>
            <w:tcW w:w="1013" w:type="dxa"/>
            <w:gridSpan w:val="2"/>
            <w:tcBorders>
              <w:top w:val="nil"/>
              <w:left w:val="nil"/>
              <w:bottom w:val="nil"/>
              <w:right w:val="nil"/>
              <w:tl2br w:val="nil"/>
              <w:tr2bl w:val="nil"/>
            </w:tcBorders>
            <w:vAlign w:val="center"/>
          </w:tcPr>
          <w:p w:rsidR="00A44840" w:rsidRDefault="00D35F5E">
            <w:pPr>
              <w:pStyle w:val="af0"/>
            </w:pPr>
            <w:r>
              <w:t>332**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22.35**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0.0735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17.88**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0.16</w:t>
            </w:r>
          </w:p>
        </w:tc>
        <w:tc>
          <w:tcPr>
            <w:tcW w:w="1013" w:type="dxa"/>
            <w:gridSpan w:val="2"/>
            <w:tcBorders>
              <w:top w:val="nil"/>
              <w:left w:val="nil"/>
              <w:bottom w:val="nil"/>
              <w:right w:val="nil"/>
              <w:tl2br w:val="nil"/>
              <w:tr2bl w:val="nil"/>
            </w:tcBorders>
            <w:vAlign w:val="center"/>
          </w:tcPr>
          <w:p w:rsidR="00A44840" w:rsidRDefault="00D35F5E">
            <w:pPr>
              <w:pStyle w:val="af0"/>
            </w:pPr>
            <w:r>
              <w:t>320**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22.16**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17.80**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0.16</w:t>
            </w:r>
          </w:p>
        </w:tc>
        <w:tc>
          <w:tcPr>
            <w:tcW w:w="1013" w:type="dxa"/>
            <w:gridSpan w:val="2"/>
            <w:tcBorders>
              <w:top w:val="nil"/>
              <w:left w:val="nil"/>
              <w:bottom w:val="nil"/>
              <w:right w:val="nil"/>
              <w:tl2br w:val="nil"/>
              <w:tr2bl w:val="nil"/>
            </w:tcBorders>
            <w:vAlign w:val="center"/>
          </w:tcPr>
          <w:p w:rsidR="00A44840" w:rsidRDefault="00D35F5E">
            <w:pPr>
              <w:pStyle w:val="af0"/>
            </w:pPr>
            <w:r>
              <w:t>317**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17.55**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0.16</w:t>
            </w:r>
          </w:p>
        </w:tc>
        <w:tc>
          <w:tcPr>
            <w:tcW w:w="1013" w:type="dxa"/>
            <w:gridSpan w:val="2"/>
            <w:tcBorders>
              <w:top w:val="nil"/>
              <w:left w:val="nil"/>
              <w:bottom w:val="nil"/>
              <w:right w:val="nil"/>
              <w:tl2br w:val="nil"/>
              <w:tr2bl w:val="nil"/>
            </w:tcBorders>
            <w:vAlign w:val="center"/>
          </w:tcPr>
          <w:p w:rsidR="00A44840" w:rsidRDefault="00D35F5E">
            <w:pPr>
              <w:pStyle w:val="af0"/>
            </w:pPr>
            <w:r>
              <w:t>308**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12:30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0.6224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17.08**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0.15</w:t>
            </w:r>
          </w:p>
        </w:tc>
        <w:tc>
          <w:tcPr>
            <w:tcW w:w="1013" w:type="dxa"/>
            <w:gridSpan w:val="2"/>
            <w:tcBorders>
              <w:top w:val="nil"/>
              <w:left w:val="nil"/>
              <w:bottom w:val="nil"/>
              <w:right w:val="nil"/>
              <w:tl2br w:val="nil"/>
              <w:tr2bl w:val="nil"/>
            </w:tcBorders>
            <w:vAlign w:val="center"/>
          </w:tcPr>
          <w:p w:rsidR="00A44840" w:rsidRDefault="00D35F5E">
            <w:pPr>
              <w:pStyle w:val="af0"/>
            </w:pPr>
            <w:r>
              <w:t>292**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0.6146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0.20</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16.49**</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1013" w:type="dxa"/>
            <w:gridSpan w:val="2"/>
            <w:tcBorders>
              <w:top w:val="nil"/>
              <w:left w:val="nil"/>
              <w:bottom w:val="nil"/>
              <w:right w:val="nil"/>
              <w:tl2br w:val="nil"/>
              <w:tr2bl w:val="nil"/>
            </w:tcBorders>
            <w:vAlign w:val="center"/>
          </w:tcPr>
          <w:p w:rsidR="00A44840" w:rsidRDefault="00D35F5E">
            <w:pPr>
              <w:pStyle w:val="af0"/>
            </w:pPr>
            <w:r>
              <w:t>272**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0.0236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0.6122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0.20</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0.0628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16.34**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1013" w:type="dxa"/>
            <w:gridSpan w:val="2"/>
            <w:tcBorders>
              <w:top w:val="nil"/>
              <w:left w:val="nil"/>
              <w:bottom w:val="nil"/>
              <w:right w:val="nil"/>
              <w:tl2br w:val="nil"/>
              <w:tr2bl w:val="nil"/>
            </w:tcBorders>
            <w:vAlign w:val="center"/>
          </w:tcPr>
          <w:p w:rsidR="00A44840" w:rsidRDefault="00D35F5E">
            <w:pPr>
              <w:pStyle w:val="af0"/>
            </w:pPr>
            <w:r>
              <w:t>267**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371**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15.90**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1013" w:type="dxa"/>
            <w:gridSpan w:val="2"/>
            <w:tcBorders>
              <w:top w:val="nil"/>
              <w:left w:val="nil"/>
              <w:bottom w:val="nil"/>
              <w:right w:val="nil"/>
              <w:tl2br w:val="nil"/>
              <w:tr2bl w:val="nil"/>
            </w:tcBorders>
            <w:vAlign w:val="center"/>
          </w:tcPr>
          <w:p w:rsidR="00A44840" w:rsidRDefault="00D35F5E">
            <w:pPr>
              <w:pStyle w:val="af0"/>
            </w:pPr>
            <w:r>
              <w:t>253**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15.26**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1013" w:type="dxa"/>
            <w:gridSpan w:val="2"/>
            <w:tcBorders>
              <w:top w:val="nil"/>
              <w:left w:val="nil"/>
              <w:bottom w:val="nil"/>
              <w:right w:val="nil"/>
              <w:tl2br w:val="nil"/>
              <w:tr2bl w:val="nil"/>
            </w:tcBorders>
            <w:vAlign w:val="center"/>
          </w:tcPr>
          <w:p w:rsidR="00A44840" w:rsidRDefault="00D35F5E">
            <w:pPr>
              <w:pStyle w:val="af0"/>
            </w:pPr>
            <w:r>
              <w:t>233**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0.0571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15.03**</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1013" w:type="dxa"/>
            <w:gridSpan w:val="2"/>
            <w:tcBorders>
              <w:top w:val="nil"/>
              <w:left w:val="nil"/>
              <w:bottom w:val="nil"/>
              <w:right w:val="nil"/>
              <w:tl2br w:val="nil"/>
              <w:tr2bl w:val="nil"/>
            </w:tcBorders>
            <w:vAlign w:val="center"/>
          </w:tcPr>
          <w:p w:rsidR="00A44840" w:rsidRDefault="00D35F5E">
            <w:pPr>
              <w:pStyle w:val="af0"/>
            </w:pPr>
            <w:r>
              <w:t>226**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0.0592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14.65**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1013" w:type="dxa"/>
            <w:gridSpan w:val="2"/>
            <w:tcBorders>
              <w:top w:val="nil"/>
              <w:left w:val="nil"/>
              <w:bottom w:val="nil"/>
              <w:right w:val="nil"/>
              <w:tl2br w:val="nil"/>
              <w:tr2bl w:val="nil"/>
            </w:tcBorders>
            <w:vAlign w:val="center"/>
          </w:tcPr>
          <w:p w:rsidR="00A44840" w:rsidRDefault="00D35F5E">
            <w:pPr>
              <w:pStyle w:val="af0"/>
            </w:pPr>
            <w:r>
              <w:t>215**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281**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0.5420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14.14**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0.11</w:t>
            </w:r>
          </w:p>
        </w:tc>
        <w:tc>
          <w:tcPr>
            <w:tcW w:w="1013" w:type="dxa"/>
            <w:gridSpan w:val="2"/>
            <w:tcBorders>
              <w:top w:val="nil"/>
              <w:left w:val="nil"/>
              <w:bottom w:val="nil"/>
              <w:right w:val="nil"/>
              <w:tl2br w:val="nil"/>
              <w:tr2bl w:val="nil"/>
            </w:tcBorders>
            <w:vAlign w:val="center"/>
          </w:tcPr>
          <w:p w:rsidR="00A44840" w:rsidRDefault="00D35F5E">
            <w:pPr>
              <w:pStyle w:val="af0"/>
            </w:pPr>
            <w:r>
              <w:t>200**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13.26**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176**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0.4889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12.24**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1013" w:type="dxa"/>
            <w:gridSpan w:val="2"/>
            <w:tcBorders>
              <w:top w:val="nil"/>
              <w:left w:val="nil"/>
              <w:bottom w:val="nil"/>
              <w:right w:val="nil"/>
              <w:tl2br w:val="nil"/>
              <w:tr2bl w:val="nil"/>
            </w:tcBorders>
            <w:vAlign w:val="center"/>
          </w:tcPr>
          <w:p w:rsidR="00A44840" w:rsidRDefault="00D35F5E">
            <w:pPr>
              <w:pStyle w:val="af0"/>
            </w:pPr>
            <w:r>
              <w:t>150**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204**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12.09**</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1013" w:type="dxa"/>
            <w:gridSpan w:val="2"/>
            <w:tcBorders>
              <w:top w:val="nil"/>
              <w:left w:val="nil"/>
              <w:bottom w:val="nil"/>
              <w:right w:val="nil"/>
              <w:tl2br w:val="nil"/>
              <w:tr2bl w:val="nil"/>
            </w:tcBorders>
            <w:vAlign w:val="center"/>
          </w:tcPr>
          <w:p w:rsidR="00A44840" w:rsidRDefault="00D35F5E">
            <w:pPr>
              <w:pStyle w:val="af0"/>
            </w:pPr>
            <w:r>
              <w:t>146**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12.30**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1013" w:type="dxa"/>
            <w:gridSpan w:val="2"/>
            <w:tcBorders>
              <w:top w:val="nil"/>
              <w:left w:val="nil"/>
              <w:bottom w:val="nil"/>
              <w:right w:val="nil"/>
              <w:tl2br w:val="nil"/>
              <w:tr2bl w:val="nil"/>
            </w:tcBorders>
            <w:vAlign w:val="center"/>
          </w:tcPr>
          <w:p w:rsidR="00A44840" w:rsidRDefault="00D35F5E">
            <w:pPr>
              <w:pStyle w:val="af0"/>
            </w:pPr>
            <w:r>
              <w:t>151**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12.11**</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1013" w:type="dxa"/>
            <w:gridSpan w:val="2"/>
            <w:tcBorders>
              <w:top w:val="nil"/>
              <w:left w:val="nil"/>
              <w:bottom w:val="nil"/>
              <w:right w:val="nil"/>
              <w:tl2br w:val="nil"/>
              <w:tr2bl w:val="nil"/>
            </w:tcBorders>
            <w:vAlign w:val="center"/>
          </w:tcPr>
          <w:p w:rsidR="00A44840" w:rsidRDefault="00D35F5E">
            <w:pPr>
              <w:pStyle w:val="af0"/>
            </w:pPr>
            <w:r>
              <w:t>147**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0.0805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12.26**</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1013" w:type="dxa"/>
            <w:gridSpan w:val="2"/>
            <w:tcBorders>
              <w:top w:val="nil"/>
              <w:left w:val="nil"/>
              <w:bottom w:val="nil"/>
              <w:right w:val="nil"/>
              <w:tl2br w:val="nil"/>
              <w:tr2bl w:val="nil"/>
            </w:tcBorders>
            <w:vAlign w:val="center"/>
          </w:tcPr>
          <w:p w:rsidR="00A44840" w:rsidRDefault="00D35F5E">
            <w:pPr>
              <w:pStyle w:val="af0"/>
            </w:pPr>
            <w:r>
              <w:t>150**</w:t>
            </w:r>
          </w:p>
        </w:tc>
      </w:tr>
      <w:tr w:rsidR="00A44840" w:rsidTr="00172D02">
        <w:trPr>
          <w:gridAfter w:val="1"/>
          <w:wAfter w:w="73" w:type="dxa"/>
          <w:trHeight w:val="34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day</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0.0100</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0.31</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-0.2054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-6.87**</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0.03</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47**</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0.0264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0.75</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-0.1654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-4.99**</w:t>
            </w:r>
          </w:p>
        </w:tc>
        <w:tc>
          <w:tcPr>
            <w:tcW w:w="680"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0.02</w:t>
            </w:r>
          </w:p>
        </w:tc>
        <w:tc>
          <w:tcPr>
            <w:tcW w:w="1013" w:type="dxa"/>
            <w:gridSpan w:val="2"/>
            <w:tcBorders>
              <w:top w:val="single" w:sz="3" w:space="0" w:color="000000"/>
              <w:left w:val="nil"/>
              <w:bottom w:val="single" w:sz="3" w:space="0" w:color="000000"/>
              <w:right w:val="nil"/>
              <w:tl2br w:val="nil"/>
              <w:tr2bl w:val="nil"/>
            </w:tcBorders>
            <w:vAlign w:val="center"/>
          </w:tcPr>
          <w:p w:rsidR="00A44840" w:rsidRDefault="00D35F5E">
            <w:pPr>
              <w:pStyle w:val="af0"/>
            </w:pPr>
            <w:r>
              <w:t>25**</w:t>
            </w:r>
          </w:p>
        </w:tc>
      </w:tr>
      <w:tr w:rsidR="00A44840" w:rsidTr="00172D02">
        <w:trPr>
          <w:gridAfter w:val="1"/>
          <w:wAfter w:w="73" w:type="dxa"/>
          <w:trHeight w:val="340"/>
        </w:trPr>
        <w:tc>
          <w:tcPr>
            <w:tcW w:w="680" w:type="dxa"/>
            <w:tcBorders>
              <w:top w:val="nil"/>
              <w:left w:val="nil"/>
              <w:bottom w:val="nil"/>
              <w:right w:val="nil"/>
              <w:tl2br w:val="nil"/>
              <w:tr2bl w:val="nil"/>
            </w:tcBorders>
            <w:vAlign w:val="center"/>
          </w:tcPr>
          <w:p w:rsidR="00A44840" w:rsidRDefault="00A44840">
            <w:pPr>
              <w:pStyle w:val="af0"/>
            </w:pPr>
          </w:p>
        </w:tc>
        <w:tc>
          <w:tcPr>
            <w:tcW w:w="4081" w:type="dxa"/>
            <w:gridSpan w:val="6"/>
            <w:tcBorders>
              <w:top w:val="nil"/>
              <w:left w:val="nil"/>
              <w:bottom w:val="nil"/>
              <w:right w:val="nil"/>
              <w:tl2br w:val="nil"/>
              <w:tr2bl w:val="nil"/>
            </w:tcBorders>
            <w:vAlign w:val="center"/>
          </w:tcPr>
          <w:p w:rsidR="00A44840" w:rsidRDefault="00E445FC" w:rsidP="00E445FC">
            <w:pPr>
              <w:pStyle w:val="af0"/>
            </w:pPr>
            <w:r>
              <w:t>C</w:t>
            </w:r>
            <w:r w:rsidR="00D35F5E">
              <w:t>ash</w:t>
            </w:r>
            <w:r>
              <w:rPr>
                <w:rFonts w:hint="eastAsia"/>
              </w:rPr>
              <w:t xml:space="preserve"> </w:t>
            </w:r>
            <w:r w:rsidR="00D35F5E">
              <w:t>(</w:t>
            </w:r>
            <w:r>
              <w:rPr>
                <w:rFonts w:hint="eastAsia"/>
              </w:rPr>
              <w:t>post-</w:t>
            </w:r>
            <w:r w:rsidR="00D35F5E">
              <w:t>crisis)</w:t>
            </w:r>
          </w:p>
        </w:tc>
        <w:tc>
          <w:tcPr>
            <w:tcW w:w="4413" w:type="dxa"/>
            <w:gridSpan w:val="8"/>
            <w:tcBorders>
              <w:top w:val="nil"/>
              <w:left w:val="nil"/>
              <w:bottom w:val="nil"/>
              <w:right w:val="nil"/>
              <w:tl2br w:val="nil"/>
              <w:tr2bl w:val="nil"/>
            </w:tcBorders>
            <w:vAlign w:val="center"/>
          </w:tcPr>
          <w:p w:rsidR="00A44840" w:rsidRDefault="00E445FC" w:rsidP="00E445FC">
            <w:pPr>
              <w:pStyle w:val="af0"/>
            </w:pPr>
            <w:r>
              <w:t>F</w:t>
            </w:r>
            <w:r w:rsidR="00D35F5E">
              <w:t>utures</w:t>
            </w:r>
            <w:r>
              <w:rPr>
                <w:rFonts w:hint="eastAsia"/>
              </w:rPr>
              <w:t xml:space="preserve"> </w:t>
            </w:r>
            <w:r w:rsidR="00D35F5E">
              <w:t>(</w:t>
            </w:r>
            <w:r>
              <w:rPr>
                <w:rFonts w:hint="eastAsia"/>
              </w:rPr>
              <w:t>post-</w:t>
            </w:r>
            <w:r w:rsidR="00D35F5E">
              <w:t>crisis)</w:t>
            </w:r>
          </w:p>
        </w:tc>
      </w:tr>
      <w:tr w:rsidR="00A44840" w:rsidTr="00172D02">
        <w:trPr>
          <w:gridAfter w:val="1"/>
          <w:wAfter w:w="73" w:type="dxa"/>
          <w:trHeight w:val="34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 xml:space="preserve">　</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F</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680"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R^2</w:t>
            </w:r>
          </w:p>
        </w:tc>
        <w:tc>
          <w:tcPr>
            <w:tcW w:w="1013" w:type="dxa"/>
            <w:gridSpan w:val="2"/>
            <w:tcBorders>
              <w:top w:val="single" w:sz="3" w:space="0" w:color="000000"/>
              <w:left w:val="nil"/>
              <w:bottom w:val="single" w:sz="3" w:space="0" w:color="000000"/>
              <w:right w:val="nil"/>
              <w:tl2br w:val="nil"/>
              <w:tr2bl w:val="nil"/>
            </w:tcBorders>
            <w:vAlign w:val="center"/>
          </w:tcPr>
          <w:p w:rsidR="00A44840" w:rsidRDefault="00D35F5E">
            <w:pPr>
              <w:pStyle w:val="af0"/>
            </w:pPr>
            <w:r>
              <w:t>F</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0.5706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43.45**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1,888**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14.54**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1013" w:type="dxa"/>
            <w:gridSpan w:val="2"/>
            <w:tcBorders>
              <w:top w:val="nil"/>
              <w:left w:val="nil"/>
              <w:bottom w:val="nil"/>
              <w:right w:val="nil"/>
              <w:tl2br w:val="nil"/>
              <w:tr2bl w:val="nil"/>
            </w:tcBorders>
            <w:vAlign w:val="center"/>
          </w:tcPr>
          <w:p w:rsidR="00A44840" w:rsidRDefault="00D35F5E">
            <w:pPr>
              <w:pStyle w:val="af0"/>
            </w:pPr>
            <w:r>
              <w:t>211**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39.61**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0.55</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1,569**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14.49**</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1013" w:type="dxa"/>
            <w:gridSpan w:val="2"/>
            <w:tcBorders>
              <w:top w:val="nil"/>
              <w:left w:val="nil"/>
              <w:bottom w:val="nil"/>
              <w:right w:val="nil"/>
              <w:tl2br w:val="nil"/>
              <w:tr2bl w:val="nil"/>
            </w:tcBorders>
            <w:vAlign w:val="center"/>
          </w:tcPr>
          <w:p w:rsidR="00A44840" w:rsidRDefault="00D35F5E">
            <w:pPr>
              <w:pStyle w:val="af0"/>
            </w:pPr>
            <w:r>
              <w:t>210**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0.5634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36.19**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1,310**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14.48**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0.14</w:t>
            </w:r>
          </w:p>
        </w:tc>
        <w:tc>
          <w:tcPr>
            <w:tcW w:w="1013" w:type="dxa"/>
            <w:gridSpan w:val="2"/>
            <w:tcBorders>
              <w:top w:val="nil"/>
              <w:left w:val="nil"/>
              <w:bottom w:val="nil"/>
              <w:right w:val="nil"/>
              <w:tl2br w:val="nil"/>
              <w:tr2bl w:val="nil"/>
            </w:tcBorders>
            <w:vAlign w:val="center"/>
          </w:tcPr>
          <w:p w:rsidR="00A44840" w:rsidRDefault="00D35F5E">
            <w:pPr>
              <w:pStyle w:val="af0"/>
            </w:pPr>
            <w:r>
              <w:t>210**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9:45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33.79**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1,142**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13.77**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1013" w:type="dxa"/>
            <w:gridSpan w:val="2"/>
            <w:tcBorders>
              <w:top w:val="nil"/>
              <w:left w:val="nil"/>
              <w:bottom w:val="nil"/>
              <w:right w:val="nil"/>
              <w:tl2br w:val="nil"/>
              <w:tr2bl w:val="nil"/>
            </w:tcBorders>
            <w:vAlign w:val="center"/>
          </w:tcPr>
          <w:p w:rsidR="00A44840" w:rsidRDefault="00D35F5E">
            <w:pPr>
              <w:pStyle w:val="af0"/>
            </w:pPr>
            <w:r>
              <w:t>190**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0.5324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31.80**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1,011**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0.0364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13.51**</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0.13</w:t>
            </w:r>
          </w:p>
        </w:tc>
        <w:tc>
          <w:tcPr>
            <w:tcW w:w="1013" w:type="dxa"/>
            <w:gridSpan w:val="2"/>
            <w:tcBorders>
              <w:top w:val="nil"/>
              <w:left w:val="nil"/>
              <w:bottom w:val="nil"/>
              <w:right w:val="nil"/>
              <w:tl2br w:val="nil"/>
              <w:tr2bl w:val="nil"/>
            </w:tcBorders>
            <w:vAlign w:val="center"/>
          </w:tcPr>
          <w:p w:rsidR="00A44840" w:rsidRDefault="00D35F5E">
            <w:pPr>
              <w:pStyle w:val="af0"/>
            </w:pPr>
            <w:r>
              <w:t>183**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30.24**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914**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13.15**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1013" w:type="dxa"/>
            <w:gridSpan w:val="2"/>
            <w:tcBorders>
              <w:top w:val="nil"/>
              <w:left w:val="nil"/>
              <w:bottom w:val="nil"/>
              <w:right w:val="nil"/>
              <w:tl2br w:val="nil"/>
              <w:tr2bl w:val="nil"/>
            </w:tcBorders>
            <w:vAlign w:val="center"/>
          </w:tcPr>
          <w:p w:rsidR="00A44840" w:rsidRDefault="00D35F5E">
            <w:pPr>
              <w:pStyle w:val="af0"/>
            </w:pPr>
            <w:r>
              <w:t>173**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w:t>
            </w:r>
            <w:r>
              <w:lastRenderedPageBreak/>
              <w:t>55</w:t>
            </w:r>
          </w:p>
        </w:tc>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-0.52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0.5267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29.83**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890**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13.12**</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1013" w:type="dxa"/>
            <w:gridSpan w:val="2"/>
            <w:tcBorders>
              <w:top w:val="nil"/>
              <w:left w:val="nil"/>
              <w:bottom w:val="nil"/>
              <w:right w:val="nil"/>
              <w:tl2br w:val="nil"/>
              <w:tr2bl w:val="nil"/>
            </w:tcBorders>
            <w:vAlign w:val="center"/>
          </w:tcPr>
          <w:p w:rsidR="00A44840" w:rsidRDefault="00D35F5E">
            <w:pPr>
              <w:pStyle w:val="af0"/>
            </w:pPr>
            <w:r>
              <w:t>172**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10:45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0.5182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28.62**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819**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12.90**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0.12</w:t>
            </w:r>
          </w:p>
        </w:tc>
        <w:tc>
          <w:tcPr>
            <w:tcW w:w="1013" w:type="dxa"/>
            <w:gridSpan w:val="2"/>
            <w:tcBorders>
              <w:top w:val="nil"/>
              <w:left w:val="nil"/>
              <w:bottom w:val="nil"/>
              <w:right w:val="nil"/>
              <w:tl2br w:val="nil"/>
              <w:tr2bl w:val="nil"/>
            </w:tcBorders>
            <w:vAlign w:val="center"/>
          </w:tcPr>
          <w:p w:rsidR="00A44840" w:rsidRDefault="00D35F5E">
            <w:pPr>
              <w:pStyle w:val="af0"/>
            </w:pPr>
            <w:r>
              <w:t>166**</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-0.0189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0.5095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26.74**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0.36</w:t>
            </w:r>
          </w:p>
        </w:tc>
        <w:tc>
          <w:tcPr>
            <w:tcW w:w="681" w:type="dxa"/>
            <w:tcBorders>
              <w:top w:val="nil"/>
              <w:left w:val="nil"/>
              <w:bottom w:val="nil"/>
              <w:right w:val="double" w:sz="15" w:space="0" w:color="000000"/>
              <w:tl2br w:val="nil"/>
              <w:tr2bl w:val="nil"/>
            </w:tcBorders>
            <w:vAlign w:val="center"/>
          </w:tcPr>
          <w:p w:rsidR="00A44840" w:rsidRDefault="00D35F5E">
            <w:pPr>
              <w:pStyle w:val="af0"/>
            </w:pPr>
            <w:r>
              <w:t>715**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12.42**</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0.11</w:t>
            </w:r>
          </w:p>
        </w:tc>
        <w:tc>
          <w:tcPr>
            <w:tcW w:w="1013" w:type="dxa"/>
            <w:gridSpan w:val="2"/>
            <w:tcBorders>
              <w:top w:val="nil"/>
              <w:left w:val="nil"/>
              <w:bottom w:val="nil"/>
              <w:right w:val="nil"/>
              <w:tl2br w:val="nil"/>
              <w:tr2bl w:val="nil"/>
            </w:tcBorders>
            <w:vAlign w:val="center"/>
          </w:tcPr>
          <w:p w:rsidR="00A44840" w:rsidRDefault="00D35F5E">
            <w:pPr>
              <w:pStyle w:val="af0"/>
            </w:pPr>
            <w:r>
              <w:t>154**</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11.87**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141**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11.77**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138**</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-0.0416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24.41**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11.78**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139**</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0.5044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0.33</w:t>
            </w:r>
          </w:p>
        </w:tc>
        <w:tc>
          <w:tcPr>
            <w:tcW w:w="681" w:type="dxa"/>
            <w:tcBorders>
              <w:top w:val="nil"/>
              <w:left w:val="nil"/>
              <w:bottom w:val="nil"/>
              <w:right w:val="double" w:sz="15" w:space="0" w:color="000000"/>
              <w:tl2br w:val="nil"/>
              <w:tr2bl w:val="nil"/>
            </w:tcBorders>
            <w:vAlign w:val="center"/>
          </w:tcPr>
          <w:p w:rsidR="00A44840" w:rsidRDefault="00D35F5E">
            <w:pPr>
              <w:pStyle w:val="af0"/>
            </w:pPr>
            <w:r>
              <w:t>627**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12.22**</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0.11</w:t>
            </w:r>
          </w:p>
        </w:tc>
        <w:tc>
          <w:tcPr>
            <w:tcW w:w="1013" w:type="dxa"/>
            <w:gridSpan w:val="2"/>
            <w:tcBorders>
              <w:top w:val="nil"/>
              <w:left w:val="nil"/>
              <w:bottom w:val="nil"/>
              <w:right w:val="nil"/>
              <w:tl2br w:val="nil"/>
              <w:tr2bl w:val="nil"/>
            </w:tcBorders>
            <w:vAlign w:val="center"/>
          </w:tcPr>
          <w:p w:rsidR="00A44840" w:rsidRDefault="00D35F5E">
            <w:pPr>
              <w:pStyle w:val="af0"/>
            </w:pPr>
            <w:r>
              <w:t>149**</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-0.0736</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0.5020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24.25**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0.4499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11.93**</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142**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0.4948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556**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11.70**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0.10</w:t>
            </w:r>
          </w:p>
        </w:tc>
        <w:tc>
          <w:tcPr>
            <w:tcW w:w="1013" w:type="dxa"/>
            <w:gridSpan w:val="2"/>
            <w:tcBorders>
              <w:top w:val="nil"/>
              <w:left w:val="nil"/>
              <w:bottom w:val="nil"/>
              <w:right w:val="nil"/>
              <w:tl2br w:val="nil"/>
              <w:tr2bl w:val="nil"/>
            </w:tcBorders>
            <w:vAlign w:val="center"/>
          </w:tcPr>
          <w:p w:rsidR="00A44840" w:rsidRDefault="00D35F5E">
            <w:pPr>
              <w:pStyle w:val="af0"/>
            </w:pPr>
            <w:r>
              <w:t>137**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12:45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-0.0567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0.4813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501**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11.27**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1013" w:type="dxa"/>
            <w:gridSpan w:val="2"/>
            <w:tcBorders>
              <w:top w:val="nil"/>
              <w:left w:val="nil"/>
              <w:bottom w:val="nil"/>
              <w:right w:val="nil"/>
              <w:tl2br w:val="nil"/>
              <w:tr2bl w:val="nil"/>
            </w:tcBorders>
            <w:vAlign w:val="center"/>
          </w:tcPr>
          <w:p w:rsidR="00A44840" w:rsidRDefault="00D35F5E">
            <w:pPr>
              <w:pStyle w:val="af0"/>
            </w:pPr>
            <w:r>
              <w:t>127**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-0.0580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21.53**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0.27</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464**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0.4288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11.07**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0.09</w:t>
            </w:r>
          </w:p>
        </w:tc>
        <w:tc>
          <w:tcPr>
            <w:tcW w:w="1013" w:type="dxa"/>
            <w:gridSpan w:val="2"/>
            <w:tcBorders>
              <w:top w:val="nil"/>
              <w:left w:val="nil"/>
              <w:bottom w:val="nil"/>
              <w:right w:val="nil"/>
              <w:tl2br w:val="nil"/>
              <w:tr2bl w:val="nil"/>
            </w:tcBorders>
            <w:vAlign w:val="center"/>
          </w:tcPr>
          <w:p w:rsidR="00A44840" w:rsidRDefault="00D35F5E">
            <w:pPr>
              <w:pStyle w:val="af0"/>
            </w:pPr>
            <w:r>
              <w:t>123**</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-0.0700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0.24</w:t>
            </w:r>
          </w:p>
        </w:tc>
        <w:tc>
          <w:tcPr>
            <w:tcW w:w="681" w:type="dxa"/>
            <w:tcBorders>
              <w:top w:val="nil"/>
              <w:left w:val="nil"/>
              <w:bottom w:val="nil"/>
              <w:right w:val="double" w:sz="15" w:space="0" w:color="000000"/>
              <w:tl2br w:val="nil"/>
              <w:tr2bl w:val="nil"/>
            </w:tcBorders>
            <w:vAlign w:val="center"/>
          </w:tcPr>
          <w:p w:rsidR="00A44840" w:rsidRDefault="00D35F5E">
            <w:pPr>
              <w:pStyle w:val="af0"/>
            </w:pPr>
            <w:r>
              <w:t>410**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0.4202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10.72**</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0.08</w:t>
            </w:r>
          </w:p>
        </w:tc>
        <w:tc>
          <w:tcPr>
            <w:tcW w:w="1013" w:type="dxa"/>
            <w:gridSpan w:val="2"/>
            <w:tcBorders>
              <w:top w:val="nil"/>
              <w:left w:val="nil"/>
              <w:bottom w:val="nil"/>
              <w:right w:val="nil"/>
              <w:tl2br w:val="nil"/>
              <w:tr2bl w:val="nil"/>
            </w:tcBorders>
            <w:vAlign w:val="center"/>
          </w:tcPr>
          <w:p w:rsidR="00A44840" w:rsidRDefault="00D35F5E">
            <w:pPr>
              <w:pStyle w:val="af0"/>
            </w:pPr>
            <w:r>
              <w:t>115**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0.4558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0.4021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10.10**</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102**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13:45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-0.0478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0.4522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0.22</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364**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0.3995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10.08**</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102**</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0.3893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9.72**</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0.19</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0.3879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9.47**</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0.4487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0.21</w:t>
            </w:r>
          </w:p>
        </w:tc>
        <w:tc>
          <w:tcPr>
            <w:tcW w:w="681" w:type="dxa"/>
            <w:tcBorders>
              <w:top w:val="nil"/>
              <w:left w:val="nil"/>
              <w:bottom w:val="nil"/>
              <w:right w:val="double" w:sz="15" w:space="0" w:color="000000"/>
              <w:tl2br w:val="nil"/>
              <w:tr2bl w:val="nil"/>
            </w:tcBorders>
            <w:vAlign w:val="center"/>
          </w:tcPr>
          <w:p w:rsidR="00A44840" w:rsidRDefault="00D35F5E">
            <w:pPr>
              <w:pStyle w:val="af0"/>
            </w:pPr>
            <w:r>
              <w:t>327**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0.4073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10.05**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101**</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284**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0.0339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0.4024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9.74**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95**</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14:50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0.0126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0.4086</w:t>
            </w:r>
          </w:p>
        </w:tc>
        <w:tc>
          <w:tcPr>
            <w:tcW w:w="680" w:type="dxa"/>
            <w:tcBorders>
              <w:top w:val="nil"/>
              <w:left w:val="nil"/>
              <w:bottom w:val="nil"/>
              <w:right w:val="single" w:sz="3" w:space="0" w:color="000000"/>
              <w:tl2br w:val="nil"/>
              <w:tr2bl w:val="nil"/>
            </w:tcBorders>
            <w:vAlign w:val="center"/>
          </w:tcPr>
          <w:p w:rsidR="00A44840" w:rsidRDefault="00D35F5E">
            <w:pPr>
              <w:pStyle w:val="af0"/>
            </w:pPr>
            <w:r>
              <w:t>9.85**</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97**</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0.0038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0.4351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0.18</w:t>
            </w:r>
          </w:p>
        </w:tc>
        <w:tc>
          <w:tcPr>
            <w:tcW w:w="681" w:type="dxa"/>
            <w:tcBorders>
              <w:top w:val="nil"/>
              <w:left w:val="nil"/>
              <w:bottom w:val="nil"/>
              <w:right w:val="double" w:sz="15" w:space="0" w:color="000000"/>
              <w:tl2br w:val="nil"/>
              <w:tr2bl w:val="nil"/>
            </w:tcBorders>
            <w:vAlign w:val="center"/>
          </w:tcPr>
          <w:p w:rsidR="00A44840" w:rsidRDefault="00D35F5E">
            <w:pPr>
              <w:pStyle w:val="af0"/>
            </w:pPr>
            <w:r>
              <w:t>278**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0.18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0.4137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9.99**</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100**</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0.0189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0.4136</w:t>
            </w:r>
          </w:p>
        </w:tc>
        <w:tc>
          <w:tcPr>
            <w:tcW w:w="680" w:type="dxa"/>
            <w:tcBorders>
              <w:top w:val="nil"/>
              <w:left w:val="nil"/>
              <w:bottom w:val="nil"/>
              <w:right w:val="single" w:sz="3" w:space="0" w:color="000000"/>
              <w:tl2br w:val="nil"/>
              <w:tr2bl w:val="nil"/>
            </w:tcBorders>
            <w:vAlign w:val="center"/>
          </w:tcPr>
          <w:p w:rsidR="00A44840" w:rsidRDefault="00D35F5E">
            <w:pPr>
              <w:pStyle w:val="af0"/>
            </w:pPr>
            <w:r>
              <w:t>9.94**</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99**</w:t>
            </w:r>
          </w:p>
        </w:tc>
      </w:tr>
      <w:tr w:rsidR="00A44840" w:rsidTr="00172D02">
        <w:trPr>
          <w:gridAfter w:val="1"/>
          <w:wAfter w:w="73" w:type="dxa"/>
          <w:trHeight w:val="340"/>
        </w:trPr>
        <w:tc>
          <w:tcPr>
            <w:tcW w:w="680" w:type="dxa"/>
            <w:tcBorders>
              <w:top w:val="nil"/>
              <w:left w:val="nil"/>
              <w:bottom w:val="nil"/>
              <w:right w:val="single" w:sz="3" w:space="0" w:color="000000"/>
              <w:tl2br w:val="nil"/>
              <w:tr2bl w:val="nil"/>
            </w:tcBorders>
            <w:vAlign w:val="center"/>
          </w:tcPr>
          <w:p w:rsidR="00A44840" w:rsidRDefault="00D35F5E">
            <w:pPr>
              <w:pStyle w:val="af0"/>
            </w:pPr>
            <w:r>
              <w:t>15:15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681" w:type="dxa"/>
            <w:tcBorders>
              <w:top w:val="nil"/>
              <w:left w:val="nil"/>
              <w:bottom w:val="nil"/>
              <w:right w:val="double" w:sz="15" w:space="0" w:color="000000"/>
              <w:tl2br w:val="nil"/>
              <w:tr2bl w:val="nil"/>
            </w:tcBorders>
            <w:vAlign w:val="center"/>
          </w:tcPr>
          <w:p w:rsidR="00A44840" w:rsidRDefault="00D35F5E">
            <w:pPr>
              <w:pStyle w:val="af0"/>
            </w:pPr>
            <w:r>
              <w:t xml:space="preserve">　</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0.0207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0.4155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9.91**</w:t>
            </w:r>
          </w:p>
        </w:tc>
        <w:tc>
          <w:tcPr>
            <w:tcW w:w="680" w:type="dxa"/>
            <w:gridSpan w:val="2"/>
            <w:tcBorders>
              <w:top w:val="nil"/>
              <w:left w:val="nil"/>
              <w:bottom w:val="nil"/>
              <w:right w:val="single" w:sz="3" w:space="0" w:color="000000"/>
              <w:tl2br w:val="nil"/>
              <w:tr2bl w:val="nil"/>
            </w:tcBorders>
            <w:vAlign w:val="center"/>
          </w:tcPr>
          <w:p w:rsidR="00A44840" w:rsidRDefault="00D35F5E">
            <w:pPr>
              <w:pStyle w:val="af0"/>
            </w:pPr>
            <w:r>
              <w:t>0.07</w:t>
            </w:r>
          </w:p>
        </w:tc>
        <w:tc>
          <w:tcPr>
            <w:tcW w:w="1013" w:type="dxa"/>
            <w:gridSpan w:val="2"/>
            <w:tcBorders>
              <w:top w:val="nil"/>
              <w:left w:val="nil"/>
              <w:bottom w:val="nil"/>
              <w:right w:val="nil"/>
              <w:tl2br w:val="nil"/>
              <w:tr2bl w:val="nil"/>
            </w:tcBorders>
            <w:vAlign w:val="center"/>
          </w:tcPr>
          <w:p w:rsidR="00A44840" w:rsidRDefault="00D35F5E">
            <w:pPr>
              <w:pStyle w:val="af0"/>
            </w:pPr>
            <w:r>
              <w:t>98**</w:t>
            </w:r>
          </w:p>
        </w:tc>
      </w:tr>
      <w:tr w:rsidR="00A44840" w:rsidTr="00172D02">
        <w:trPr>
          <w:gridAfter w:val="1"/>
          <w:wAfter w:w="73" w:type="dxa"/>
          <w:trHeight w:val="34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day</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-0.0483</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-1.34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-0.1354</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-6.35**</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0.03</w:t>
            </w:r>
          </w:p>
        </w:tc>
        <w:tc>
          <w:tcPr>
            <w:tcW w:w="681" w:type="dxa"/>
            <w:tcBorders>
              <w:top w:val="single" w:sz="3" w:space="0" w:color="000000"/>
              <w:left w:val="nil"/>
              <w:bottom w:val="single" w:sz="3" w:space="0" w:color="000000"/>
              <w:right w:val="double" w:sz="15" w:space="0" w:color="000000"/>
              <w:tl2br w:val="nil"/>
              <w:tr2bl w:val="nil"/>
            </w:tcBorders>
            <w:vAlign w:val="center"/>
          </w:tcPr>
          <w:p w:rsidR="00A44840" w:rsidRDefault="00D35F5E">
            <w:pPr>
              <w:pStyle w:val="af0"/>
            </w:pPr>
            <w:r>
              <w:t>40**</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-0.0348</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-0.93</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-0.0808</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-3.63**</w:t>
            </w:r>
          </w:p>
        </w:tc>
        <w:tc>
          <w:tcPr>
            <w:tcW w:w="680" w:type="dxa"/>
            <w:gridSpan w:val="2"/>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0.01</w:t>
            </w:r>
          </w:p>
        </w:tc>
        <w:tc>
          <w:tcPr>
            <w:tcW w:w="1013" w:type="dxa"/>
            <w:gridSpan w:val="2"/>
            <w:tcBorders>
              <w:top w:val="single" w:sz="3" w:space="0" w:color="000000"/>
              <w:left w:val="nil"/>
              <w:bottom w:val="single" w:sz="3" w:space="0" w:color="000000"/>
              <w:right w:val="nil"/>
              <w:tl2br w:val="nil"/>
              <w:tr2bl w:val="nil"/>
            </w:tcBorders>
            <w:vAlign w:val="center"/>
          </w:tcPr>
          <w:p w:rsidR="00A44840" w:rsidRDefault="00D35F5E">
            <w:pPr>
              <w:pStyle w:val="af0"/>
            </w:pPr>
            <w:r>
              <w:t>13**</w:t>
            </w:r>
          </w:p>
        </w:tc>
      </w:tr>
    </w:tbl>
    <w:p w:rsidR="00A44840" w:rsidRDefault="00A44840">
      <w:pPr>
        <w:rPr>
          <w:sz w:val="2"/>
        </w:rPr>
      </w:pPr>
    </w:p>
    <w:p w:rsidR="00A44840" w:rsidRDefault="00A44840">
      <w:pPr>
        <w:pStyle w:val="a8"/>
        <w:ind w:firstLine="0"/>
      </w:pPr>
    </w:p>
    <w:p w:rsidR="00A44840" w:rsidRDefault="00A44840">
      <w:pPr>
        <w:pStyle w:val="a8"/>
        <w:ind w:firstLine="0"/>
      </w:pPr>
    </w:p>
    <w:p w:rsidR="00A44840" w:rsidRDefault="00A44840">
      <w:pPr>
        <w:pStyle w:val="a8"/>
        <w:ind w:firstLine="0"/>
      </w:pPr>
    </w:p>
    <w:p w:rsidR="00A44840" w:rsidRDefault="004E4790">
      <w:r>
        <w:rPr>
          <w:noProof/>
        </w:rPr>
      </w:r>
      <w:r w:rsidR="003D65C8">
        <w:rPr>
          <w:noProof/>
        </w:rPr>
        <w:pict>
          <v:rect id="_x0000_s1113894791" o:spid="_x0000_s1027"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kPntQIAAK0FAAAOAAAAZHJzL2Uyb0RvYy54bWysVFFvmzAQfp+0/2D5nYIJSQCVVF0I06Ru&#10;q9TtuXLABGtgI9sN6ab9951NSJPuZdrGAzrb5+/uu/t81zeHrkV7pjSXIsPkKsCIiVJWXOwy/PVL&#10;4cUYaUNFRVspWIafmcY3q7dvroc+ZaFsZFsxhQBE6HToM9wY06e+r8uGdVRfyZ4JOKyl6qiBpdr5&#10;laIDoHetHwbBwh+kqnolS6Y17ObjIV45/Lpmpflc15oZ1GYYcjPur9x/a//+6pqmO0X7hpfHNOhf&#10;ZNFRLiDoCSqnhqInxX+D6nippJa1uSpl58u65iVzHIANCV6xeWhozxwXKI7uT2XS/w+2/LS/V4hX&#10;GU4wErSDFj0eAvgeNSFkFifRMiG2SkOvU3B+6O+V5an7O1l+00jIdUPFjt0qJYeG0Qpyc/7+xQW7&#10;0HAVbYePsoIg9MlIV7BDrToLCKVAB9eX51Nf2MGgEjYXJAyWizlGJZwtw3gWzW1KPk2n273S5j2T&#10;HbJGhhX03aHT/Z02o+vkYoMJWfC2db1vxcUGYI47EBuu2jObhWvljyRINvEmjrwoXGy8KMhz77ZY&#10;R96iIMt5PsvX65z8tHFJlDa8qpiwYSZZkejP2nYU+CiIk7C0bHll4WxKWu2261ahPQVZF+47FuTM&#10;zb9Mw9ULuLyiRMIoeBcmXrGIl15URHMvWQaxF5DkXbIIoiTKi0tKd1ywf6eEBlDcPJy7Lp0l/Yqb&#10;VWLgXik05sKt4wYGR8u7DMcnJ5paCW5E5VprKG9H+6wUNv2XUgDq1GgnWKvRUevmsD24d0Fmk/y3&#10;snoGCSsJCoNZAlMPjEaq7xgNMEEyLGDEYdR+EPAI7LCZDDUZ28mgooSLGTYYjebajEPpqVd81wAu&#10;GSvT38JDKbjTsH1EYw5AwC5gJjgqx/llh8752nm9TNnVLwAAAP//AwBQSwMEFAAGAAgAAAAhAC8G&#10;4wHWAAAABQEAAA8AAABkcnMvZG93bnJldi54bWxMj81qwzAQhO+FvIPYQm+N1BxKcC2HUgikpZc4&#10;fQDFWv9QaddISuy8fZRSaC/LDrPMflNuZu/EGUMcmDQ8LRUIpIbtQJ2Gr8P2cQ0iJkPWOCbUcMEI&#10;m2pxV5rC8kR7PNepEzmEYmE09CmNhZSx6dGbuOQRKXstB29SlqGTNpgph3snV0o9S28Gyh96M+Jb&#10;j813ffIa5KHeTuvaBcUfq/bTve/2LbLWD/fz6wuIhHP6O4YbfkaHKjMd+UQ2CqchF0k/8+YpleXx&#10;d5FVKf/TV1cAAAD//wMAUEsBAi0AFAAGAAgAAAAhALaDOJL+AAAA4QEAABMAAAAAAAAAAAAAAAAA&#10;AAAAAFtDb250ZW50X1R5cGVzXS54bWxQSwECLQAUAAYACAAAACEAOP0h/9YAAACUAQAACwAAAAAA&#10;AAAAAAAAAAAvAQAAX3JlbHMvLnJlbHNQSwECLQAUAAYACAAAACEAYGZD57UCAACtBQAADgAAAAAA&#10;AAAAAAAAAAAuAgAAZHJzL2Uyb0RvYy54bWxQSwECLQAUAAYACAAAACEALwbjAdYAAAAFAQAADwAA&#10;AAAAAAAAAAAAAAAPBQAAZHJzL2Rvd25yZXYueG1sUEsFBgAAAAAEAAQA8wAAABIGAAAAAA==&#10;" filled="f" stroked="f">
            <v:textbox style="mso-fit-shape-to-text:t" inset="0,0,0,0">
              <w:txbxContent>
                <w:p w:rsidR="006B03CF" w:rsidRDefault="006B03CF">
                  <w:pPr>
                    <w:pStyle w:val="af1"/>
                  </w:pPr>
                  <w:r>
                    <w:t xml:space="preserve">&lt;Appendix D&gt; </w:t>
                  </w:r>
                  <w:proofErr w:type="gramStart"/>
                  <w:r>
                    <w:t>The</w:t>
                  </w:r>
                  <w:proofErr w:type="gramEnd"/>
                  <w:r>
                    <w:t xml:space="preserve"> estimation results of equation (8)</w:t>
                  </w:r>
                </w:p>
                <w:p w:rsidR="006B03CF" w:rsidRDefault="006B03CF">
                  <w:pPr>
                    <w:pStyle w:val="af"/>
                  </w:pPr>
                  <w:r>
                    <w:t xml:space="preserve">This table is the estimation results of equation (8): </w:t>
                  </w:r>
                  <m:oMath>
                    <m:sSubSup>
                      <m:sSubSupPr>
                        <m:ctrlPr>
                          <w:rPr>
                            <w:rFonts w:ascii="Cambria Math" w:hAnsi="Cambria Math"/>
                          </w:rPr>
                        </m:ctrlPr>
                      </m:sSubSupPr>
                      <m:e>
                        <m:r>
                          <m:rPr>
                            <m:sty m:val="p"/>
                          </m:rPr>
                          <w:rPr>
                            <w:rFonts w:ascii="Cambria Math"/>
                          </w:rPr>
                          <m:t>r</m:t>
                        </m:r>
                      </m:e>
                      <m:sub>
                        <m:r>
                          <m:rPr>
                            <m:sty m:val="p"/>
                          </m:rPr>
                          <w:rPr>
                            <w:rFonts w:ascii="Cambria Math"/>
                          </w:rPr>
                          <m:t>t,j</m:t>
                        </m:r>
                      </m:sub>
                      <m:sup>
                        <m:r>
                          <m:rPr>
                            <m:sty m:val="p"/>
                          </m:rPr>
                          <w:rPr>
                            <w:rFonts w:ascii="Cambria Math"/>
                          </w:rPr>
                          <m:t>*</m:t>
                        </m:r>
                      </m:sup>
                    </m:sSubSup>
                    <m:r>
                      <m:rPr>
                        <m:sty m:val="p"/>
                      </m:rPr>
                      <w:rPr>
                        <w:rFonts w:ascii="Cambria Math"/>
                      </w:rPr>
                      <m:t>=</m:t>
                    </m:r>
                    <m:sSubSup>
                      <m:sSubSupPr>
                        <m:ctrlPr>
                          <w:rPr>
                            <w:rFonts w:ascii="Cambria Math" w:hAnsi="Cambria Math"/>
                          </w:rPr>
                        </m:ctrlPr>
                      </m:sSubSupPr>
                      <m:e>
                        <m:r>
                          <m:rPr>
                            <m:sty m:val="p"/>
                          </m:rPr>
                          <w:rPr>
                            <w:rFonts w:ascii="Cambria Math"/>
                          </w:rPr>
                          <m:t>a</m:t>
                        </m:r>
                      </m:e>
                      <m:sub>
                        <m:r>
                          <m:rPr>
                            <m:sty m:val="p"/>
                          </m:rPr>
                          <w:rPr>
                            <w:rFonts w:ascii="Cambria Math"/>
                          </w:rPr>
                          <m:t>j</m:t>
                        </m:r>
                      </m:sub>
                      <m:sup>
                        <m:r>
                          <m:rPr>
                            <m:sty m:val="p"/>
                          </m:rPr>
                          <w:rPr>
                            <w:rFonts w:ascii="Cambria Math"/>
                          </w:rPr>
                          <m:t>*</m:t>
                        </m:r>
                      </m:sup>
                    </m:sSubSup>
                    <m:r>
                      <m:rPr>
                        <m:sty m:val="p"/>
                      </m:rPr>
                      <w:rPr>
                        <w:rFonts w:ascii="Cambria Math"/>
                      </w:rPr>
                      <m:t>+</m:t>
                    </m:r>
                    <m:sSubSup>
                      <m:sSubSupPr>
                        <m:ctrlPr>
                          <w:rPr>
                            <w:rFonts w:ascii="Cambria Math" w:hAnsi="Cambria Math"/>
                          </w:rPr>
                        </m:ctrlPr>
                      </m:sSubSupPr>
                      <m:e>
                        <m:r>
                          <m:rPr>
                            <m:sty m:val="p"/>
                          </m:rPr>
                          <w:rPr>
                            <w:rFonts w:ascii="Cambria Math"/>
                          </w:rPr>
                          <m:t>b</m:t>
                        </m:r>
                      </m:e>
                      <m:sub>
                        <m:r>
                          <m:rPr>
                            <m:sty m:val="p"/>
                          </m:rPr>
                          <w:rPr>
                            <w:rFonts w:ascii="Cambria Math"/>
                          </w:rPr>
                          <m:t>j</m:t>
                        </m:r>
                      </m:sub>
                      <m:sup>
                        <m:r>
                          <m:rPr>
                            <m:sty m:val="p"/>
                          </m:rPr>
                          <w:rPr>
                            <w:rFonts w:ascii="Cambria Math"/>
                          </w:rPr>
                          <m:t>*</m:t>
                        </m:r>
                      </m:sup>
                    </m:sSubSup>
                    <m:sSub>
                      <m:sSubPr>
                        <m:ctrlPr>
                          <w:rPr>
                            <w:rFonts w:ascii="Cambria Math" w:hAnsi="Cambria Math"/>
                          </w:rPr>
                        </m:ctrlPr>
                      </m:sSubPr>
                      <m:e>
                        <m:r>
                          <m:rPr>
                            <m:sty m:val="p"/>
                          </m:rPr>
                          <w:rPr>
                            <w:rFonts w:ascii="Cambria Math"/>
                          </w:rPr>
                          <m:t>r</m:t>
                        </m:r>
                      </m:e>
                      <m:sub>
                        <m:r>
                          <m:rPr>
                            <m:sty m:val="p"/>
                          </m:rPr>
                          <w:rPr>
                            <w:rFonts w:ascii="Cambria Math"/>
                          </w:rPr>
                          <m:t>us,t</m:t>
                        </m:r>
                        <m:r>
                          <m:rPr>
                            <m:sty m:val="p"/>
                          </m:rPr>
                          <w:rPr>
                            <w:rFonts w:ascii="Cambria Math"/>
                          </w:rPr>
                          <m:t>-</m:t>
                        </m:r>
                        <m:r>
                          <m:rPr>
                            <m:sty m:val="p"/>
                          </m:rPr>
                          <w:rPr>
                            <w:rFonts w:ascii="Cambria Math"/>
                          </w:rPr>
                          <m:t>1</m:t>
                        </m:r>
                      </m:sub>
                    </m:sSub>
                    <m:r>
                      <m:rPr>
                        <m:sty m:val="p"/>
                      </m:rPr>
                      <w:rPr>
                        <w:rFonts w:ascii="Cambria Math"/>
                      </w:rPr>
                      <m:t>+</m:t>
                    </m:r>
                    <m:sSubSup>
                      <m:sSubSupPr>
                        <m:ctrlPr>
                          <w:rPr>
                            <w:rFonts w:ascii="Cambria Math" w:hAnsi="Cambria Math"/>
                          </w:rPr>
                        </m:ctrlPr>
                      </m:sSubSupPr>
                      <m:e>
                        <m:r>
                          <m:rPr>
                            <m:sty m:val="p"/>
                          </m:rPr>
                          <w:rPr>
                            <w:rFonts w:ascii="Cambria Math"/>
                          </w:rPr>
                          <m:t>ε</m:t>
                        </m:r>
                      </m:e>
                      <m:sub>
                        <m:r>
                          <m:rPr>
                            <m:sty m:val="p"/>
                          </m:rPr>
                          <w:rPr>
                            <w:rFonts w:ascii="Cambria Math"/>
                          </w:rPr>
                          <m:t>t,j</m:t>
                        </m:r>
                      </m:sub>
                      <m:sup>
                        <m:r>
                          <m:rPr>
                            <m:sty m:val="p"/>
                          </m:rPr>
                          <w:rPr>
                            <w:rFonts w:ascii="Cambria Math"/>
                          </w:rPr>
                          <m:t>*</m:t>
                        </m:r>
                      </m:sup>
                    </m:sSubSup>
                    <m:r>
                      <w:rPr>
                        <w:rFonts w:ascii="Cambria Math" w:hAnsi="Cambria Math"/>
                      </w:rPr>
                      <m:t>.</m:t>
                    </m:r>
                  </m:oMath>
                  <w:r>
                    <w:t xml:space="preserve">  Here, </w:t>
                  </w:r>
                  <m:oMath>
                    <m:sSubSup>
                      <m:sSubSupPr>
                        <m:ctrlPr>
                          <w:rPr>
                            <w:rFonts w:ascii="Cambria Math" w:hAnsi="Cambria Math"/>
                          </w:rPr>
                        </m:ctrlPr>
                      </m:sSubSupPr>
                      <m:e>
                        <m:r>
                          <m:rPr>
                            <m:sty m:val="p"/>
                          </m:rPr>
                          <w:rPr>
                            <w:rFonts w:ascii="Cambria Math"/>
                          </w:rPr>
                          <m:t>r</m:t>
                        </m:r>
                      </m:e>
                      <m:sub>
                        <m:r>
                          <m:rPr>
                            <m:sty m:val="p"/>
                          </m:rPr>
                          <w:rPr>
                            <w:rFonts w:ascii="Cambria Math"/>
                          </w:rPr>
                          <m:t>t,j</m:t>
                        </m:r>
                      </m:sub>
                      <m:sup>
                        <m:r>
                          <m:rPr>
                            <m:sty m:val="p"/>
                          </m:rPr>
                          <w:rPr>
                            <w:rFonts w:ascii="Cambria Math"/>
                          </w:rPr>
                          <m:t>*</m:t>
                        </m:r>
                      </m:sup>
                    </m:sSubSup>
                  </m:oMath>
                  <w:r>
                    <w:t xml:space="preserve"> </w:t>
                  </w:r>
                  <w:proofErr w:type="gramStart"/>
                  <w:r>
                    <w:t xml:space="preserve">is </w:t>
                  </w:r>
                  <w:proofErr w:type="gramEnd"/>
                  <m:oMath>
                    <m:sSub>
                      <m:sSubPr>
                        <m:ctrlPr>
                          <w:rPr>
                            <w:rFonts w:ascii="Cambria Math" w:hAnsi="Cambria Math"/>
                          </w:rPr>
                        </m:ctrlPr>
                      </m:sSubPr>
                      <m:e>
                        <m:r>
                          <m:rPr>
                            <m:sty m:val="p"/>
                          </m:rPr>
                          <w:rPr>
                            <w:rFonts w:ascii="Cambria Math"/>
                          </w:rPr>
                          <m:t>r</m:t>
                        </m:r>
                      </m:e>
                      <m:sub>
                        <m:r>
                          <m:rPr>
                            <m:sty m:val="p"/>
                          </m:rPr>
                          <w:rPr>
                            <w:rFonts w:ascii="Cambria Math"/>
                          </w:rPr>
                          <m:t>S,t,j</m:t>
                        </m:r>
                      </m:sub>
                    </m:sSub>
                    <m:r>
                      <m:rPr>
                        <m:sty m:val="p"/>
                      </m:rPr>
                      <w:rPr>
                        <w:rFonts w:ascii="Cambria Math"/>
                      </w:rPr>
                      <m:t>-</m:t>
                    </m:r>
                    <m:sSub>
                      <m:sSubPr>
                        <m:ctrlPr>
                          <w:rPr>
                            <w:rFonts w:ascii="Cambria Math" w:hAnsi="Cambria Math"/>
                          </w:rPr>
                        </m:ctrlPr>
                      </m:sSubPr>
                      <m:e>
                        <m:r>
                          <m:rPr>
                            <m:sty m:val="p"/>
                          </m:rPr>
                          <w:rPr>
                            <w:rFonts w:ascii="Cambria Math"/>
                          </w:rPr>
                          <m:t>r</m:t>
                        </m:r>
                      </m:e>
                      <m:sub>
                        <m:r>
                          <m:rPr>
                            <m:sty m:val="p"/>
                          </m:rPr>
                          <w:rPr>
                            <w:rFonts w:ascii="Cambria Math"/>
                          </w:rPr>
                          <m:t>F,t,j</m:t>
                        </m:r>
                      </m:sub>
                    </m:sSub>
                  </m:oMath>
                  <w:r>
                    <w:t xml:space="preserve">.   </w:t>
                  </w:r>
                  <m:oMath>
                    <m:sSubSup>
                      <m:sSubSupPr>
                        <m:ctrlPr>
                          <w:rPr>
                            <w:rFonts w:ascii="Cambria Math" w:hAnsi="Cambria Math"/>
                          </w:rPr>
                        </m:ctrlPr>
                      </m:sSubSupPr>
                      <m:e>
                        <m:r>
                          <m:rPr>
                            <m:sty m:val="p"/>
                          </m:rPr>
                          <w:rPr>
                            <w:rFonts w:ascii="Cambria Math"/>
                          </w:rPr>
                          <m:t>a</m:t>
                        </m:r>
                      </m:e>
                      <m:sub>
                        <m:r>
                          <m:rPr>
                            <m:sty m:val="p"/>
                          </m:rPr>
                          <w:rPr>
                            <w:rFonts w:ascii="Cambria Math"/>
                          </w:rPr>
                          <m:t>j</m:t>
                        </m:r>
                      </m:sub>
                      <m:sup>
                        <m:r>
                          <m:rPr>
                            <m:sty m:val="p"/>
                          </m:rPr>
                          <w:rPr>
                            <w:rFonts w:ascii="Cambria Math"/>
                          </w:rPr>
                          <m:t>*</m:t>
                        </m:r>
                      </m:sup>
                    </m:sSubSup>
                  </m:oMath>
                  <w:r>
                    <w:t xml:space="preserve"> </w:t>
                  </w:r>
                  <w:proofErr w:type="gramStart"/>
                  <w:r>
                    <w:t>is</w:t>
                  </w:r>
                  <w:proofErr w:type="gramEnd"/>
                  <w:r>
                    <w:rPr>
                      <w:rFonts w:hint="eastAsia"/>
                    </w:rPr>
                    <w:t xml:space="preserve"> the</w:t>
                  </w:r>
                  <w:r>
                    <w:t xml:space="preserve"> intercept. </w:t>
                  </w:r>
                  <m:oMath>
                    <m:r>
                      <m:rPr>
                        <m:sty m:val="p"/>
                      </m:rPr>
                      <w:rPr>
                        <w:rFonts w:ascii="Cambria Math"/>
                      </w:rPr>
                      <m:t>B</m:t>
                    </m:r>
                    <m:sSubSup>
                      <m:sSubSupPr>
                        <m:ctrlPr>
                          <w:rPr>
                            <w:rFonts w:ascii="Cambria Math" w:hAnsi="Cambria Math"/>
                          </w:rPr>
                        </m:ctrlPr>
                      </m:sSubSupPr>
                      <m:e>
                        <m:r>
                          <m:rPr>
                            <m:sty m:val="p"/>
                          </m:rPr>
                          <w:rPr>
                            <w:rFonts w:ascii="Cambria Math"/>
                          </w:rPr>
                          <m:t> </m:t>
                        </m:r>
                      </m:e>
                      <m:sub>
                        <m:r>
                          <m:rPr>
                            <m:sty m:val="p"/>
                          </m:rPr>
                          <w:rPr>
                            <w:rFonts w:ascii="Cambria Math"/>
                          </w:rPr>
                          <m:t>j</m:t>
                        </m:r>
                      </m:sub>
                      <m:sup>
                        <m:r>
                          <m:rPr>
                            <m:sty m:val="p"/>
                          </m:rPr>
                          <w:rPr>
                            <w:rFonts w:ascii="Cambria Math"/>
                          </w:rPr>
                          <m:t>*</m:t>
                        </m:r>
                      </m:sup>
                    </m:sSubSup>
                  </m:oMath>
                  <w:r>
                    <w:t xml:space="preserve"> </w:t>
                  </w:r>
                  <w:proofErr w:type="gramStart"/>
                  <w:r>
                    <w:t>is</w:t>
                  </w:r>
                  <w:proofErr w:type="gramEnd"/>
                  <w:r>
                    <w:t xml:space="preserve"> </w:t>
                  </w:r>
                  <w:r>
                    <w:rPr>
                      <w:rFonts w:hint="eastAsia"/>
                    </w:rPr>
                    <w:t xml:space="preserve">the </w:t>
                  </w:r>
                  <w:r>
                    <w:t xml:space="preserve">slope and </w:t>
                  </w:r>
                  <m:oMath>
                    <m:sSubSup>
                      <m:sSubSupPr>
                        <m:ctrlPr>
                          <w:rPr>
                            <w:rFonts w:ascii="Cambria Math" w:hAnsi="Cambria Math"/>
                          </w:rPr>
                        </m:ctrlPr>
                      </m:sSubSupPr>
                      <m:e>
                        <m:r>
                          <m:rPr>
                            <m:sty m:val="p"/>
                          </m:rPr>
                          <w:rPr>
                            <w:rFonts w:ascii="Cambria Math"/>
                          </w:rPr>
                          <m:t>ε</m:t>
                        </m:r>
                      </m:e>
                      <m:sub>
                        <m:r>
                          <m:rPr>
                            <m:sty m:val="p"/>
                          </m:rPr>
                          <w:rPr>
                            <w:rFonts w:ascii="Cambria Math"/>
                          </w:rPr>
                          <m:t>t,j</m:t>
                        </m:r>
                      </m:sub>
                      <m:sup>
                        <m:r>
                          <m:rPr>
                            <m:sty m:val="p"/>
                          </m:rPr>
                          <w:rPr>
                            <w:rFonts w:ascii="Cambria Math"/>
                          </w:rPr>
                          <m:t>*</m:t>
                        </m:r>
                      </m:sup>
                    </m:sSubSup>
                  </m:oMath>
                  <w:r>
                    <w:t xml:space="preserve"> is </w:t>
                  </w:r>
                  <w:r>
                    <w:rPr>
                      <w:rFonts w:hint="eastAsia"/>
                    </w:rPr>
                    <w:t>the</w:t>
                  </w:r>
                  <w:r>
                    <w:t xml:space="preserve"> error term.</w:t>
                  </w:r>
                  <w:r>
                    <w:rPr>
                      <w:rFonts w:hint="eastAsia"/>
                    </w:rPr>
                    <w:t xml:space="preserve"> Further,</w:t>
                  </w:r>
                  <w:r>
                    <w:t xml:space="preserve"> </w:t>
                  </w:r>
                  <w:proofErr w:type="gramStart"/>
                  <w:r>
                    <w:t>t(</w:t>
                  </w:r>
                  <w:proofErr w:type="gramEnd"/>
                  <w:r>
                    <w:t>∙</w:t>
                  </w:r>
                  <w:r>
                    <w:t xml:space="preserve">)denotes </w:t>
                  </w:r>
                  <w:r>
                    <w:rPr>
                      <w:rFonts w:hint="eastAsia"/>
                    </w:rPr>
                    <w:t xml:space="preserve">a </w:t>
                  </w:r>
                  <w:r>
                    <w:t>t-value. R</w:t>
                  </w:r>
                  <w:r>
                    <w:rPr>
                      <w:vertAlign w:val="superscript"/>
                    </w:rPr>
                    <w:t xml:space="preserve">2 </w:t>
                  </w:r>
                  <w:r>
                    <w:t xml:space="preserve">is </w:t>
                  </w:r>
                  <w:r>
                    <w:rPr>
                      <w:rFonts w:hint="eastAsia"/>
                    </w:rPr>
                    <w:t xml:space="preserve">the </w:t>
                  </w:r>
                  <w:r>
                    <w:t xml:space="preserve">coefficient of determination. </w:t>
                  </w:r>
                  <w:r>
                    <w:rPr>
                      <w:rFonts w:hint="eastAsia"/>
                    </w:rPr>
                    <w:t xml:space="preserve">Lastly, </w:t>
                  </w:r>
                  <w:r>
                    <w:t>* denotes</w:t>
                  </w:r>
                  <w:r>
                    <w:rPr>
                      <w:rFonts w:hint="eastAsia"/>
                    </w:rPr>
                    <w:t xml:space="preserve"> a</w:t>
                  </w:r>
                  <w:r>
                    <w:t xml:space="preserve"> 5% significance level</w:t>
                  </w:r>
                  <w:r>
                    <w:rPr>
                      <w:rFonts w:hint="eastAsia"/>
                    </w:rPr>
                    <w:t xml:space="preserve"> and</w:t>
                  </w:r>
                  <w:r>
                    <w:t xml:space="preserve"> ** denotes</w:t>
                  </w:r>
                  <w:r>
                    <w:rPr>
                      <w:rFonts w:hint="eastAsia"/>
                    </w:rPr>
                    <w:t xml:space="preserve"> a</w:t>
                  </w:r>
                  <w:r>
                    <w:t xml:space="preserve"> 1% significance level</w:t>
                  </w:r>
                  <w:proofErr w:type="gramStart"/>
                  <w:r>
                    <w:t>..</w:t>
                  </w:r>
                  <w:proofErr w:type="gramEnd"/>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680"/>
        <w:gridCol w:w="737"/>
        <w:gridCol w:w="680"/>
        <w:gridCol w:w="737"/>
        <w:gridCol w:w="680"/>
        <w:gridCol w:w="983"/>
        <w:gridCol w:w="850"/>
        <w:gridCol w:w="709"/>
        <w:gridCol w:w="709"/>
        <w:gridCol w:w="708"/>
        <w:gridCol w:w="709"/>
        <w:gridCol w:w="992"/>
      </w:tblGrid>
      <w:tr w:rsidR="00A44840" w:rsidTr="00172D02">
        <w:trPr>
          <w:trHeight w:val="330"/>
        </w:trPr>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F53020">
            <w:pPr>
              <w:pStyle w:val="af0"/>
            </w:pPr>
            <w:r>
              <w:rPr>
                <w:rFonts w:hint="eastAsia"/>
              </w:rPr>
              <w:t>entire</w:t>
            </w:r>
            <w:r>
              <w:t xml:space="preserve"> </w:t>
            </w:r>
            <w:r w:rsidR="00D35F5E">
              <w:t>period</w:t>
            </w:r>
          </w:p>
        </w:tc>
        <w:tc>
          <w:tcPr>
            <w:tcW w:w="737"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37"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83" w:type="dxa"/>
            <w:tcBorders>
              <w:top w:val="single" w:sz="3" w:space="0" w:color="000000"/>
              <w:left w:val="nil"/>
              <w:bottom w:val="single" w:sz="3" w:space="0" w:color="000000"/>
              <w:right w:val="nil"/>
              <w:tl2br w:val="nil"/>
              <w:tr2bl w:val="nil"/>
            </w:tcBorders>
            <w:vAlign w:val="center"/>
          </w:tcPr>
          <w:p w:rsidR="00A44840" w:rsidRDefault="00D35F5E">
            <w:pPr>
              <w:pStyle w:val="af0"/>
              <w:rPr>
                <w:vertAlign w:val="superscript"/>
              </w:rPr>
            </w:pPr>
            <w:r>
              <w:t>R</w:t>
            </w:r>
            <w:r>
              <w:rPr>
                <w:vertAlign w:val="superscript"/>
              </w:rPr>
              <w:t>2</w:t>
            </w:r>
          </w:p>
        </w:tc>
        <w:tc>
          <w:tcPr>
            <w:tcW w:w="850" w:type="dxa"/>
            <w:tcBorders>
              <w:top w:val="single" w:sz="3" w:space="0" w:color="000000"/>
              <w:left w:val="double" w:sz="15"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entire</w:t>
            </w:r>
            <w:r>
              <w:t xml:space="preserve"> </w:t>
            </w:r>
            <w:r w:rsidR="00D35F5E">
              <w:t>period</w:t>
            </w:r>
          </w:p>
        </w:tc>
        <w:tc>
          <w:tcPr>
            <w:tcW w:w="709"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709"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08"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709" w:type="dxa"/>
            <w:tcBorders>
              <w:top w:val="single" w:sz="3"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92" w:type="dxa"/>
            <w:tcBorders>
              <w:top w:val="single" w:sz="3" w:space="0" w:color="000000"/>
              <w:left w:val="nil"/>
              <w:bottom w:val="single" w:sz="3" w:space="0" w:color="000000"/>
              <w:right w:val="nil"/>
              <w:tl2br w:val="nil"/>
              <w:tr2bl w:val="nil"/>
            </w:tcBorders>
            <w:vAlign w:val="center"/>
          </w:tcPr>
          <w:p w:rsidR="00A44840" w:rsidRDefault="00D35F5E">
            <w:pPr>
              <w:pStyle w:val="af0"/>
            </w:pPr>
            <w:r>
              <w:t>R</w:t>
            </w:r>
            <w:r>
              <w:rPr>
                <w:vertAlign w:val="superscript"/>
              </w:rPr>
              <w:t>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0.0061</w:t>
            </w:r>
          </w:p>
        </w:tc>
        <w:tc>
          <w:tcPr>
            <w:tcW w:w="680" w:type="dxa"/>
            <w:tcBorders>
              <w:top w:val="nil"/>
              <w:left w:val="nil"/>
              <w:bottom w:val="nil"/>
              <w:right w:val="single" w:sz="3" w:space="0" w:color="000000"/>
              <w:tl2br w:val="nil"/>
              <w:tr2bl w:val="nil"/>
            </w:tcBorders>
            <w:vAlign w:val="center"/>
          </w:tcPr>
          <w:p w:rsidR="00A44840" w:rsidRDefault="00D35F5E">
            <w:pPr>
              <w:pStyle w:val="af0"/>
            </w:pPr>
            <w:r>
              <w:t>0.23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0.0675</w:t>
            </w:r>
          </w:p>
        </w:tc>
        <w:tc>
          <w:tcPr>
            <w:tcW w:w="680" w:type="dxa"/>
            <w:tcBorders>
              <w:top w:val="nil"/>
              <w:left w:val="nil"/>
              <w:bottom w:val="nil"/>
              <w:right w:val="single" w:sz="3" w:space="0" w:color="000000"/>
              <w:tl2br w:val="nil"/>
              <w:tr2bl w:val="nil"/>
            </w:tcBorders>
            <w:vAlign w:val="center"/>
          </w:tcPr>
          <w:p w:rsidR="00A44840" w:rsidRDefault="00D35F5E">
            <w:pPr>
              <w:pStyle w:val="af0"/>
            </w:pPr>
            <w:r>
              <w:t>3.49**</w:t>
            </w:r>
          </w:p>
        </w:tc>
        <w:tc>
          <w:tcPr>
            <w:tcW w:w="983" w:type="dxa"/>
            <w:tcBorders>
              <w:top w:val="nil"/>
              <w:left w:val="nil"/>
              <w:bottom w:val="nil"/>
              <w:right w:val="nil"/>
              <w:tl2br w:val="nil"/>
              <w:tr2bl w:val="nil"/>
            </w:tcBorders>
            <w:vAlign w:val="center"/>
          </w:tcPr>
          <w:p w:rsidR="00A44840" w:rsidRDefault="00D35F5E">
            <w:pPr>
              <w:pStyle w:val="af0"/>
            </w:pPr>
            <w:r>
              <w:t>0.004</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12:45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-0.0492</w:t>
            </w:r>
          </w:p>
        </w:tc>
        <w:tc>
          <w:tcPr>
            <w:tcW w:w="709" w:type="dxa"/>
            <w:tcBorders>
              <w:top w:val="nil"/>
              <w:left w:val="nil"/>
              <w:bottom w:val="nil"/>
              <w:right w:val="single" w:sz="3" w:space="0" w:color="000000"/>
              <w:tl2br w:val="nil"/>
              <w:tr2bl w:val="nil"/>
            </w:tcBorders>
            <w:vAlign w:val="center"/>
          </w:tcPr>
          <w:p w:rsidR="00A44840" w:rsidRDefault="00D35F5E">
            <w:pPr>
              <w:pStyle w:val="af0"/>
            </w:pPr>
            <w:r>
              <w:t>-1.84</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0.0457</w:t>
            </w:r>
          </w:p>
        </w:tc>
        <w:tc>
          <w:tcPr>
            <w:tcW w:w="709" w:type="dxa"/>
            <w:tcBorders>
              <w:top w:val="nil"/>
              <w:left w:val="nil"/>
              <w:bottom w:val="nil"/>
              <w:right w:val="single" w:sz="3" w:space="0" w:color="000000"/>
              <w:tl2br w:val="nil"/>
              <w:tr2bl w:val="nil"/>
            </w:tcBorders>
            <w:vAlign w:val="center"/>
          </w:tcPr>
          <w:p w:rsidR="00A44840" w:rsidRDefault="00D35F5E">
            <w:pPr>
              <w:pStyle w:val="af0"/>
            </w:pPr>
            <w:r>
              <w:t>2.34*</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0.0437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2.27*</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-0.0483</w:t>
            </w:r>
          </w:p>
        </w:tc>
        <w:tc>
          <w:tcPr>
            <w:tcW w:w="709" w:type="dxa"/>
            <w:tcBorders>
              <w:top w:val="nil"/>
              <w:left w:val="nil"/>
              <w:bottom w:val="nil"/>
              <w:right w:val="single" w:sz="3" w:space="0" w:color="000000"/>
              <w:tl2br w:val="nil"/>
              <w:tr2bl w:val="nil"/>
            </w:tcBorders>
            <w:vAlign w:val="center"/>
          </w:tcPr>
          <w:p w:rsidR="00A44840" w:rsidRDefault="00D35F5E">
            <w:pPr>
              <w:pStyle w:val="af0"/>
            </w:pPr>
            <w:r>
              <w:t>-1.81</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0.0457</w:t>
            </w:r>
          </w:p>
        </w:tc>
        <w:tc>
          <w:tcPr>
            <w:tcW w:w="709" w:type="dxa"/>
            <w:tcBorders>
              <w:top w:val="nil"/>
              <w:left w:val="nil"/>
              <w:bottom w:val="nil"/>
              <w:right w:val="single" w:sz="3" w:space="0" w:color="000000"/>
              <w:tl2br w:val="nil"/>
              <w:tr2bl w:val="nil"/>
            </w:tcBorders>
            <w:vAlign w:val="center"/>
          </w:tcPr>
          <w:p w:rsidR="00A44840" w:rsidRDefault="00D35F5E">
            <w:pPr>
              <w:pStyle w:val="af0"/>
            </w:pPr>
            <w:r>
              <w:t>2.35*</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-1.21</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0.0397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2.06*</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-0.0528</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0.0442</w:t>
            </w:r>
          </w:p>
        </w:tc>
        <w:tc>
          <w:tcPr>
            <w:tcW w:w="709" w:type="dxa"/>
            <w:tcBorders>
              <w:top w:val="nil"/>
              <w:left w:val="nil"/>
              <w:bottom w:val="nil"/>
              <w:right w:val="single" w:sz="3" w:space="0" w:color="000000"/>
              <w:tl2br w:val="nil"/>
              <w:tr2bl w:val="nil"/>
            </w:tcBorders>
            <w:vAlign w:val="center"/>
          </w:tcPr>
          <w:p w:rsidR="00A44840" w:rsidRDefault="00D35F5E">
            <w:pPr>
              <w:pStyle w:val="af0"/>
            </w:pPr>
            <w:r>
              <w:t>2.27*</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-0.0351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-1.32</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0.0389</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2.01*</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-0.0511</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0.0471</w:t>
            </w:r>
          </w:p>
        </w:tc>
        <w:tc>
          <w:tcPr>
            <w:tcW w:w="709" w:type="dxa"/>
            <w:tcBorders>
              <w:top w:val="nil"/>
              <w:left w:val="nil"/>
              <w:bottom w:val="nil"/>
              <w:right w:val="single" w:sz="3" w:space="0" w:color="000000"/>
              <w:tl2br w:val="nil"/>
              <w:tr2bl w:val="nil"/>
            </w:tcBorders>
            <w:vAlign w:val="center"/>
          </w:tcPr>
          <w:p w:rsidR="00A44840" w:rsidRDefault="00D35F5E">
            <w:pPr>
              <w:pStyle w:val="af0"/>
            </w:pPr>
            <w:r>
              <w:t>2.43*</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-0.0350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-1.32</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1.91</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-0.0516</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-1.94</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0.0446</w:t>
            </w:r>
          </w:p>
        </w:tc>
        <w:tc>
          <w:tcPr>
            <w:tcW w:w="709" w:type="dxa"/>
            <w:tcBorders>
              <w:top w:val="nil"/>
              <w:left w:val="nil"/>
              <w:bottom w:val="nil"/>
              <w:right w:val="single" w:sz="3" w:space="0" w:color="000000"/>
              <w:tl2br w:val="nil"/>
              <w:tr2bl w:val="nil"/>
            </w:tcBorders>
            <w:vAlign w:val="center"/>
          </w:tcPr>
          <w:p w:rsidR="00A44840" w:rsidRDefault="00D35F5E">
            <w:pPr>
              <w:pStyle w:val="af0"/>
            </w:pPr>
            <w:r>
              <w:t>2.29*</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-0.0377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-1.42</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2.08*</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-0.0507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-1.90</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0.0428</w:t>
            </w:r>
          </w:p>
        </w:tc>
        <w:tc>
          <w:tcPr>
            <w:tcW w:w="709" w:type="dxa"/>
            <w:tcBorders>
              <w:top w:val="nil"/>
              <w:left w:val="nil"/>
              <w:bottom w:val="nil"/>
              <w:right w:val="single" w:sz="3" w:space="0" w:color="000000"/>
              <w:tl2br w:val="nil"/>
              <w:tr2bl w:val="nil"/>
            </w:tcBorders>
            <w:vAlign w:val="center"/>
          </w:tcPr>
          <w:p w:rsidR="00A44840" w:rsidRDefault="00D35F5E">
            <w:pPr>
              <w:pStyle w:val="af0"/>
            </w:pPr>
            <w:r>
              <w:t>2.20*</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-0.0355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0.0427</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2.20*</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-0.0461</w:t>
            </w:r>
          </w:p>
        </w:tc>
        <w:tc>
          <w:tcPr>
            <w:tcW w:w="709" w:type="dxa"/>
            <w:tcBorders>
              <w:top w:val="nil"/>
              <w:left w:val="nil"/>
              <w:bottom w:val="nil"/>
              <w:right w:val="single" w:sz="3" w:space="0" w:color="000000"/>
              <w:tl2br w:val="nil"/>
              <w:tr2bl w:val="nil"/>
            </w:tcBorders>
            <w:vAlign w:val="center"/>
          </w:tcPr>
          <w:p w:rsidR="00A44840" w:rsidRDefault="00D35F5E">
            <w:pPr>
              <w:pStyle w:val="af0"/>
            </w:pPr>
            <w:r>
              <w:t>-1.73</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0.0404</w:t>
            </w:r>
          </w:p>
        </w:tc>
        <w:tc>
          <w:tcPr>
            <w:tcW w:w="709" w:type="dxa"/>
            <w:tcBorders>
              <w:top w:val="nil"/>
              <w:left w:val="nil"/>
              <w:bottom w:val="nil"/>
              <w:right w:val="single" w:sz="3" w:space="0" w:color="000000"/>
              <w:tl2br w:val="nil"/>
              <w:tr2bl w:val="nil"/>
            </w:tcBorders>
            <w:vAlign w:val="center"/>
          </w:tcPr>
          <w:p w:rsidR="00A44840" w:rsidRDefault="00D35F5E">
            <w:pPr>
              <w:pStyle w:val="af0"/>
            </w:pPr>
            <w:r>
              <w:t>2.08*</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-0.037</w:t>
            </w:r>
            <w:r>
              <w:lastRenderedPageBreak/>
              <w:t>5</w:t>
            </w:r>
          </w:p>
        </w:tc>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-1.40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2.08*</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-0.047</w:t>
            </w:r>
            <w:r>
              <w:lastRenderedPageBreak/>
              <w:t>7</w:t>
            </w:r>
          </w:p>
        </w:tc>
        <w:tc>
          <w:tcPr>
            <w:tcW w:w="709" w:type="dxa"/>
            <w:tcBorders>
              <w:top w:val="nil"/>
              <w:left w:val="nil"/>
              <w:bottom w:val="nil"/>
              <w:right w:val="single" w:sz="3" w:space="0" w:color="000000"/>
              <w:tl2br w:val="nil"/>
              <w:tr2bl w:val="nil"/>
            </w:tcBorders>
            <w:vAlign w:val="center"/>
          </w:tcPr>
          <w:p w:rsidR="00A44840" w:rsidRDefault="00D35F5E">
            <w:pPr>
              <w:pStyle w:val="af0"/>
            </w:pPr>
            <w:r>
              <w:lastRenderedPageBreak/>
              <w:t>-1.78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0.0379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1.94</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11:00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-1.46</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0.0412</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2.10*</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-0.0320</w:t>
            </w:r>
          </w:p>
        </w:tc>
        <w:tc>
          <w:tcPr>
            <w:tcW w:w="709" w:type="dxa"/>
            <w:tcBorders>
              <w:top w:val="nil"/>
              <w:left w:val="nil"/>
              <w:bottom w:val="nil"/>
              <w:right w:val="single" w:sz="3" w:space="0" w:color="000000"/>
              <w:tl2br w:val="nil"/>
              <w:tr2bl w:val="nil"/>
            </w:tcBorders>
            <w:vAlign w:val="center"/>
          </w:tcPr>
          <w:p w:rsidR="00A44840" w:rsidRDefault="00D35F5E">
            <w:pPr>
              <w:pStyle w:val="af0"/>
            </w:pPr>
            <w:r>
              <w:t>-1.20</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0.0329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1.69</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0.0431</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2.21*</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14:50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-0.0051</w:t>
            </w:r>
          </w:p>
        </w:tc>
        <w:tc>
          <w:tcPr>
            <w:tcW w:w="709" w:type="dxa"/>
            <w:tcBorders>
              <w:top w:val="nil"/>
              <w:left w:val="nil"/>
              <w:bottom w:val="nil"/>
              <w:right w:val="single" w:sz="3" w:space="0" w:color="000000"/>
              <w:tl2br w:val="nil"/>
              <w:tr2bl w:val="nil"/>
            </w:tcBorders>
            <w:vAlign w:val="center"/>
          </w:tcPr>
          <w:p w:rsidR="00A44840" w:rsidRDefault="00D35F5E">
            <w:pPr>
              <w:pStyle w:val="af0"/>
            </w:pPr>
            <w:r>
              <w:t>-0.19</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0.0264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1.35</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2.08*</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-0.0067</w:t>
            </w:r>
          </w:p>
        </w:tc>
        <w:tc>
          <w:tcPr>
            <w:tcW w:w="709" w:type="dxa"/>
            <w:tcBorders>
              <w:top w:val="nil"/>
              <w:left w:val="nil"/>
              <w:bottom w:val="nil"/>
              <w:right w:val="single" w:sz="3" w:space="0" w:color="000000"/>
              <w:tl2br w:val="nil"/>
              <w:tr2bl w:val="nil"/>
            </w:tcBorders>
            <w:vAlign w:val="center"/>
          </w:tcPr>
          <w:p w:rsidR="00A44840" w:rsidRDefault="00D35F5E">
            <w:pPr>
              <w:pStyle w:val="af0"/>
            </w:pPr>
            <w:r>
              <w:t>-0.25</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0.0219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1.11</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-0.0433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-1.61</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2.17*</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-0.0103</w:t>
            </w:r>
          </w:p>
        </w:tc>
        <w:tc>
          <w:tcPr>
            <w:tcW w:w="709" w:type="dxa"/>
            <w:tcBorders>
              <w:top w:val="nil"/>
              <w:left w:val="nil"/>
              <w:bottom w:val="nil"/>
              <w:right w:val="single" w:sz="3" w:space="0" w:color="000000"/>
              <w:tl2br w:val="nil"/>
              <w:tr2bl w:val="nil"/>
            </w:tcBorders>
            <w:vAlign w:val="center"/>
          </w:tcPr>
          <w:p w:rsidR="00A44840" w:rsidRDefault="00D35F5E">
            <w:pPr>
              <w:pStyle w:val="af0"/>
            </w:pPr>
            <w:r>
              <w:t>-0.38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0.0227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1.15</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-0.0436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0.0408</w:t>
            </w:r>
          </w:p>
        </w:tc>
        <w:tc>
          <w:tcPr>
            <w:tcW w:w="680" w:type="dxa"/>
            <w:tcBorders>
              <w:top w:val="nil"/>
              <w:left w:val="nil"/>
              <w:bottom w:val="nil"/>
              <w:right w:val="single" w:sz="3" w:space="0" w:color="000000"/>
              <w:tl2br w:val="nil"/>
              <w:tr2bl w:val="nil"/>
            </w:tcBorders>
            <w:vAlign w:val="center"/>
          </w:tcPr>
          <w:p w:rsidR="00A44840" w:rsidRDefault="00D35F5E">
            <w:pPr>
              <w:pStyle w:val="af0"/>
            </w:pPr>
            <w:r>
              <w:t>2.09*</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-0.0091</w:t>
            </w:r>
          </w:p>
        </w:tc>
        <w:tc>
          <w:tcPr>
            <w:tcW w:w="709" w:type="dxa"/>
            <w:tcBorders>
              <w:top w:val="nil"/>
              <w:left w:val="nil"/>
              <w:bottom w:val="nil"/>
              <w:right w:val="single" w:sz="3" w:space="0" w:color="000000"/>
              <w:tl2br w:val="nil"/>
              <w:tr2bl w:val="nil"/>
            </w:tcBorders>
            <w:vAlign w:val="center"/>
          </w:tcPr>
          <w:p w:rsidR="00A44840" w:rsidRDefault="00D35F5E">
            <w:pPr>
              <w:pStyle w:val="af0"/>
            </w:pPr>
            <w:r>
              <w:t>-0.33</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0.0178</w:t>
            </w:r>
          </w:p>
        </w:tc>
        <w:tc>
          <w:tcPr>
            <w:tcW w:w="709" w:type="dxa"/>
            <w:tcBorders>
              <w:top w:val="nil"/>
              <w:left w:val="nil"/>
              <w:bottom w:val="nil"/>
              <w:right w:val="single" w:sz="3" w:space="0" w:color="000000"/>
              <w:tl2br w:val="nil"/>
              <w:tr2bl w:val="nil"/>
            </w:tcBorders>
            <w:vAlign w:val="center"/>
          </w:tcPr>
          <w:p w:rsidR="00A44840" w:rsidRDefault="00D35F5E">
            <w:pPr>
              <w:pStyle w:val="af0"/>
            </w:pPr>
            <w:r>
              <w:t>0.89</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-0.0479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-1.79</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2.27*</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992" w:type="dxa"/>
            <w:tcBorders>
              <w:top w:val="nil"/>
              <w:left w:val="nil"/>
              <w:bottom w:val="nil"/>
              <w:right w:val="nil"/>
              <w:tl2br w:val="nil"/>
              <w:tr2bl w:val="nil"/>
            </w:tcBorders>
            <w:vAlign w:val="center"/>
          </w:tcPr>
          <w:p w:rsidR="00A44840" w:rsidRDefault="00D35F5E">
            <w:pPr>
              <w:pStyle w:val="af0"/>
            </w:pPr>
            <w:r>
              <w:t xml:space="preserve">　</w:t>
            </w:r>
          </w:p>
        </w:tc>
      </w:tr>
      <w:tr w:rsidR="00A44840" w:rsidTr="00172D02">
        <w:trPr>
          <w:trHeight w:val="345"/>
        </w:trPr>
        <w:tc>
          <w:tcPr>
            <w:tcW w:w="680" w:type="dxa"/>
            <w:tcBorders>
              <w:top w:val="nil"/>
              <w:left w:val="nil"/>
              <w:bottom w:val="nil"/>
              <w:right w:val="single" w:sz="3" w:space="0" w:color="000000"/>
              <w:tl2br w:val="nil"/>
              <w:tr2bl w:val="nil"/>
            </w:tcBorders>
            <w:vAlign w:val="center"/>
          </w:tcPr>
          <w:p w:rsidR="00A44840" w:rsidRDefault="00D35F5E">
            <w:pPr>
              <w:pStyle w:val="af0"/>
            </w:pPr>
            <w:r>
              <w:t>12:30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-0.0506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-1.89</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0.0445</w:t>
            </w:r>
          </w:p>
        </w:tc>
        <w:tc>
          <w:tcPr>
            <w:tcW w:w="680" w:type="dxa"/>
            <w:tcBorders>
              <w:top w:val="nil"/>
              <w:left w:val="nil"/>
              <w:bottom w:val="nil"/>
              <w:right w:val="single" w:sz="3" w:space="0" w:color="000000"/>
              <w:tl2br w:val="nil"/>
              <w:tr2bl w:val="nil"/>
            </w:tcBorders>
            <w:vAlign w:val="center"/>
          </w:tcPr>
          <w:p w:rsidR="00A44840" w:rsidRDefault="00D35F5E">
            <w:pPr>
              <w:pStyle w:val="af0"/>
            </w:pPr>
            <w:r>
              <w:t>2.28*</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dotted" w:sz="3" w:space="0" w:color="000000"/>
              <w:left w:val="double" w:sz="15" w:space="0" w:color="000000"/>
              <w:bottom w:val="nil"/>
              <w:right w:val="single" w:sz="3" w:space="0" w:color="000000"/>
              <w:tl2br w:val="nil"/>
              <w:tr2bl w:val="nil"/>
            </w:tcBorders>
            <w:vAlign w:val="center"/>
          </w:tcPr>
          <w:p w:rsidR="00A44840" w:rsidRDefault="00D35F5E">
            <w:pPr>
              <w:pStyle w:val="af0"/>
            </w:pPr>
            <w:r>
              <w:t>day</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-0.0151</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-1.64</w:t>
            </w:r>
          </w:p>
        </w:tc>
        <w:tc>
          <w:tcPr>
            <w:tcW w:w="708" w:type="dxa"/>
            <w:tcBorders>
              <w:top w:val="dotted" w:sz="3" w:space="0" w:color="000000"/>
              <w:left w:val="nil"/>
              <w:bottom w:val="nil"/>
              <w:right w:val="single" w:sz="3" w:space="0" w:color="000000"/>
              <w:tl2br w:val="nil"/>
              <w:tr2bl w:val="nil"/>
            </w:tcBorders>
            <w:vAlign w:val="center"/>
          </w:tcPr>
          <w:p w:rsidR="00A44840" w:rsidRDefault="00D35F5E">
            <w:pPr>
              <w:pStyle w:val="af0"/>
            </w:pPr>
            <w:r>
              <w:t>-0.0497</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-7.37</w:t>
            </w:r>
          </w:p>
        </w:tc>
        <w:tc>
          <w:tcPr>
            <w:tcW w:w="992" w:type="dxa"/>
            <w:tcBorders>
              <w:top w:val="dotted" w:sz="3" w:space="0" w:color="000000"/>
              <w:left w:val="nil"/>
              <w:bottom w:val="nil"/>
              <w:right w:val="nil"/>
              <w:tl2br w:val="nil"/>
              <w:tr2bl w:val="nil"/>
            </w:tcBorders>
            <w:vAlign w:val="center"/>
          </w:tcPr>
          <w:p w:rsidR="00A44840" w:rsidRDefault="00D35F5E">
            <w:pPr>
              <w:pStyle w:val="af0"/>
            </w:pPr>
            <w:r>
              <w:t>0.018</w:t>
            </w:r>
          </w:p>
        </w:tc>
      </w:tr>
      <w:tr w:rsidR="00A44840" w:rsidTr="00172D02">
        <w:trPr>
          <w:trHeight w:val="345"/>
        </w:trPr>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F53020">
            <w:pPr>
              <w:pStyle w:val="af0"/>
            </w:pPr>
            <w:r>
              <w:rPr>
                <w:rFonts w:hint="eastAsia"/>
              </w:rPr>
              <w:t>pre-</w:t>
            </w:r>
            <w:r w:rsidR="00D35F5E">
              <w:t>crisis</w:t>
            </w:r>
          </w:p>
        </w:tc>
        <w:tc>
          <w:tcPr>
            <w:tcW w:w="737"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37"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83" w:type="dxa"/>
            <w:tcBorders>
              <w:top w:val="double" w:sz="15" w:space="0" w:color="000000"/>
              <w:left w:val="nil"/>
              <w:bottom w:val="single" w:sz="3" w:space="0" w:color="000000"/>
              <w:right w:val="nil"/>
              <w:tl2br w:val="nil"/>
              <w:tr2bl w:val="nil"/>
            </w:tcBorders>
            <w:vAlign w:val="center"/>
          </w:tcPr>
          <w:p w:rsidR="00A44840" w:rsidRDefault="00D35F5E">
            <w:pPr>
              <w:pStyle w:val="af0"/>
            </w:pPr>
            <w:r>
              <w:t>R</w:t>
            </w:r>
            <w:r>
              <w:rPr>
                <w:vertAlign w:val="superscript"/>
              </w:rPr>
              <w:t>2</w:t>
            </w:r>
          </w:p>
        </w:tc>
        <w:tc>
          <w:tcPr>
            <w:tcW w:w="850" w:type="dxa"/>
            <w:tcBorders>
              <w:top w:val="double" w:sz="15" w:space="0" w:color="000000"/>
              <w:left w:val="double" w:sz="15"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08"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92" w:type="dxa"/>
            <w:tcBorders>
              <w:top w:val="double" w:sz="15" w:space="0" w:color="000000"/>
              <w:left w:val="nil"/>
              <w:bottom w:val="single" w:sz="3" w:space="0" w:color="000000"/>
              <w:right w:val="nil"/>
              <w:tl2br w:val="nil"/>
              <w:tr2bl w:val="nil"/>
            </w:tcBorders>
            <w:vAlign w:val="center"/>
          </w:tcPr>
          <w:p w:rsidR="00A44840" w:rsidRDefault="00D35F5E">
            <w:pPr>
              <w:pStyle w:val="af0"/>
            </w:pPr>
            <w:r>
              <w:t>R</w:t>
            </w:r>
            <w:r>
              <w:rPr>
                <w:vertAlign w:val="superscript"/>
              </w:rPr>
              <w:t>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0.0135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2.59*</w:t>
            </w:r>
          </w:p>
        </w:tc>
        <w:tc>
          <w:tcPr>
            <w:tcW w:w="983" w:type="dxa"/>
            <w:tcBorders>
              <w:top w:val="nil"/>
              <w:left w:val="nil"/>
              <w:bottom w:val="nil"/>
              <w:right w:val="nil"/>
              <w:tl2br w:val="nil"/>
              <w:tr2bl w:val="nil"/>
            </w:tcBorders>
            <w:vAlign w:val="center"/>
          </w:tcPr>
          <w:p w:rsidR="00A44840" w:rsidRDefault="00D35F5E">
            <w:pPr>
              <w:pStyle w:val="af0"/>
            </w:pPr>
            <w:r>
              <w:t>0.004</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12:45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-0.0407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-1.76</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0.0366</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1.69</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-0.0369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-1.69</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0.0170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0.83</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-0.0393</w:t>
            </w:r>
          </w:p>
        </w:tc>
        <w:tc>
          <w:tcPr>
            <w:tcW w:w="709" w:type="dxa"/>
            <w:tcBorders>
              <w:top w:val="nil"/>
              <w:left w:val="nil"/>
              <w:bottom w:val="nil"/>
              <w:right w:val="single" w:sz="3" w:space="0" w:color="000000"/>
              <w:tl2br w:val="nil"/>
              <w:tr2bl w:val="nil"/>
            </w:tcBorders>
            <w:vAlign w:val="center"/>
          </w:tcPr>
          <w:p w:rsidR="00A44840" w:rsidRDefault="00D35F5E">
            <w:pPr>
              <w:pStyle w:val="af0"/>
            </w:pPr>
            <w:r>
              <w:t>-1.73</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0.0354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1.67</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0.77</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-0.0454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-1.99*</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0.0337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1.58</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-1.92</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0.0132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0.64</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-0.0428</w:t>
            </w:r>
          </w:p>
        </w:tc>
        <w:tc>
          <w:tcPr>
            <w:tcW w:w="709" w:type="dxa"/>
            <w:tcBorders>
              <w:top w:val="nil"/>
              <w:left w:val="nil"/>
              <w:bottom w:val="nil"/>
              <w:right w:val="single" w:sz="3" w:space="0" w:color="000000"/>
              <w:tl2br w:val="nil"/>
              <w:tr2bl w:val="nil"/>
            </w:tcBorders>
            <w:vAlign w:val="center"/>
          </w:tcPr>
          <w:p w:rsidR="00A44840" w:rsidRDefault="00D35F5E">
            <w:pPr>
              <w:pStyle w:val="af0"/>
            </w:pPr>
            <w:r>
              <w:t>-1.91</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0.0342</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1.63</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-1.77</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0.0124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0.59</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-0.0424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-1.87</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0.0288</w:t>
            </w:r>
          </w:p>
        </w:tc>
        <w:tc>
          <w:tcPr>
            <w:tcW w:w="709" w:type="dxa"/>
            <w:tcBorders>
              <w:top w:val="nil"/>
              <w:left w:val="nil"/>
              <w:bottom w:val="nil"/>
              <w:right w:val="single" w:sz="3" w:space="0" w:color="000000"/>
              <w:tl2br w:val="nil"/>
              <w:tr2bl w:val="nil"/>
            </w:tcBorders>
            <w:vAlign w:val="center"/>
          </w:tcPr>
          <w:p w:rsidR="00A44840" w:rsidRDefault="00D35F5E">
            <w:pPr>
              <w:pStyle w:val="af0"/>
            </w:pPr>
            <w:r>
              <w:t>1.36</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-0.0391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0.0148</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0.71</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-0.0414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-1.85</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0.0289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1.38</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-0.0348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1.10</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-0.0391</w:t>
            </w:r>
          </w:p>
        </w:tc>
        <w:tc>
          <w:tcPr>
            <w:tcW w:w="709" w:type="dxa"/>
            <w:tcBorders>
              <w:top w:val="nil"/>
              <w:left w:val="nil"/>
              <w:bottom w:val="nil"/>
              <w:right w:val="single" w:sz="3" w:space="0" w:color="000000"/>
              <w:tl2br w:val="nil"/>
              <w:tr2bl w:val="nil"/>
            </w:tcBorders>
            <w:vAlign w:val="center"/>
          </w:tcPr>
          <w:p w:rsidR="00A44840" w:rsidRDefault="00D35F5E">
            <w:pPr>
              <w:pStyle w:val="af0"/>
            </w:pPr>
            <w:r>
              <w:t>-1.75</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0.0273</w:t>
            </w:r>
          </w:p>
        </w:tc>
        <w:tc>
          <w:tcPr>
            <w:tcW w:w="709" w:type="dxa"/>
            <w:tcBorders>
              <w:top w:val="nil"/>
              <w:left w:val="nil"/>
              <w:bottom w:val="nil"/>
              <w:right w:val="single" w:sz="3" w:space="0" w:color="000000"/>
              <w:tl2br w:val="nil"/>
              <w:tr2bl w:val="nil"/>
            </w:tcBorders>
            <w:vAlign w:val="center"/>
          </w:tcPr>
          <w:p w:rsidR="00A44840" w:rsidRDefault="00D35F5E">
            <w:pPr>
              <w:pStyle w:val="af0"/>
            </w:pPr>
            <w:r>
              <w:t>1.31</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-0.036</w:t>
            </w:r>
            <w:r>
              <w:lastRenderedPageBreak/>
              <w:t>4</w:t>
            </w:r>
          </w:p>
        </w:tc>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-1.60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0.89</w:t>
            </w:r>
          </w:p>
        </w:tc>
        <w:tc>
          <w:tcPr>
            <w:tcW w:w="983" w:type="dxa"/>
            <w:tcBorders>
              <w:top w:val="nil"/>
              <w:left w:val="nil"/>
              <w:bottom w:val="nil"/>
              <w:right w:val="nil"/>
              <w:tl2br w:val="nil"/>
              <w:tr2bl w:val="nil"/>
            </w:tcBorders>
            <w:vAlign w:val="center"/>
          </w:tcPr>
          <w:p w:rsidR="00A44840" w:rsidRDefault="00D35F5E">
            <w:pPr>
              <w:pStyle w:val="af0"/>
            </w:pPr>
            <w:r>
              <w:t>0.000</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-0.041</w:t>
            </w:r>
            <w:r>
              <w:lastRenderedPageBreak/>
              <w:t>9</w:t>
            </w:r>
          </w:p>
        </w:tc>
        <w:tc>
          <w:tcPr>
            <w:tcW w:w="709" w:type="dxa"/>
            <w:tcBorders>
              <w:top w:val="nil"/>
              <w:left w:val="nil"/>
              <w:bottom w:val="nil"/>
              <w:right w:val="single" w:sz="3" w:space="0" w:color="000000"/>
              <w:tl2br w:val="nil"/>
              <w:tr2bl w:val="nil"/>
            </w:tcBorders>
            <w:vAlign w:val="center"/>
          </w:tcPr>
          <w:p w:rsidR="00A44840" w:rsidRDefault="00D35F5E">
            <w:pPr>
              <w:pStyle w:val="af0"/>
            </w:pPr>
            <w:r>
              <w:lastRenderedPageBreak/>
              <w:t>-1.84</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0.0310</w:t>
            </w:r>
          </w:p>
        </w:tc>
        <w:tc>
          <w:tcPr>
            <w:tcW w:w="709" w:type="dxa"/>
            <w:tcBorders>
              <w:top w:val="nil"/>
              <w:left w:val="nil"/>
              <w:bottom w:val="nil"/>
              <w:right w:val="single" w:sz="3" w:space="0" w:color="000000"/>
              <w:tl2br w:val="nil"/>
              <w:tr2bl w:val="nil"/>
            </w:tcBorders>
            <w:vAlign w:val="center"/>
          </w:tcPr>
          <w:p w:rsidR="00A44840" w:rsidRDefault="00D35F5E">
            <w:pPr>
              <w:pStyle w:val="af0"/>
            </w:pPr>
            <w:r>
              <w:t>1.46</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11:00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-1.76</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0.0219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0.99</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-0.0309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-1.37</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0.0298</w:t>
            </w:r>
          </w:p>
        </w:tc>
        <w:tc>
          <w:tcPr>
            <w:tcW w:w="709" w:type="dxa"/>
            <w:tcBorders>
              <w:top w:val="nil"/>
              <w:left w:val="nil"/>
              <w:bottom w:val="nil"/>
              <w:right w:val="single" w:sz="3" w:space="0" w:color="000000"/>
              <w:tl2br w:val="nil"/>
              <w:tr2bl w:val="nil"/>
            </w:tcBorders>
            <w:vAlign w:val="center"/>
          </w:tcPr>
          <w:p w:rsidR="00A44840" w:rsidRDefault="00D35F5E">
            <w:pPr>
              <w:pStyle w:val="af0"/>
            </w:pPr>
            <w:r>
              <w:t>1.41</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-0.0393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-1.69</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0.0239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1.10</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14:50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-0.0068</w:t>
            </w:r>
          </w:p>
        </w:tc>
        <w:tc>
          <w:tcPr>
            <w:tcW w:w="709" w:type="dxa"/>
            <w:tcBorders>
              <w:top w:val="nil"/>
              <w:left w:val="nil"/>
              <w:bottom w:val="nil"/>
              <w:right w:val="single" w:sz="3" w:space="0" w:color="000000"/>
              <w:tl2br w:val="nil"/>
              <w:tr2bl w:val="nil"/>
            </w:tcBorders>
            <w:vAlign w:val="center"/>
          </w:tcPr>
          <w:p w:rsidR="00A44840" w:rsidRDefault="00D35F5E">
            <w:pPr>
              <w:pStyle w:val="af0"/>
            </w:pPr>
            <w:r>
              <w:t>-0.30</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0.0325</w:t>
            </w:r>
          </w:p>
        </w:tc>
        <w:tc>
          <w:tcPr>
            <w:tcW w:w="709" w:type="dxa"/>
            <w:tcBorders>
              <w:top w:val="nil"/>
              <w:left w:val="nil"/>
              <w:bottom w:val="nil"/>
              <w:right w:val="single" w:sz="3" w:space="0" w:color="000000"/>
              <w:tl2br w:val="nil"/>
              <w:tr2bl w:val="nil"/>
            </w:tcBorders>
            <w:vAlign w:val="center"/>
          </w:tcPr>
          <w:p w:rsidR="00A44840" w:rsidRDefault="00D35F5E">
            <w:pPr>
              <w:pStyle w:val="af0"/>
            </w:pPr>
            <w:r>
              <w:t>1.52</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-1.74</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0.0265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1.21</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-0.0052</w:t>
            </w:r>
          </w:p>
        </w:tc>
        <w:tc>
          <w:tcPr>
            <w:tcW w:w="709" w:type="dxa"/>
            <w:tcBorders>
              <w:top w:val="nil"/>
              <w:left w:val="nil"/>
              <w:bottom w:val="nil"/>
              <w:right w:val="single" w:sz="3" w:space="0" w:color="000000"/>
              <w:tl2br w:val="nil"/>
              <w:tr2bl w:val="nil"/>
            </w:tcBorders>
            <w:vAlign w:val="center"/>
          </w:tcPr>
          <w:p w:rsidR="00A44840" w:rsidRDefault="00D35F5E">
            <w:pPr>
              <w:pStyle w:val="af0"/>
            </w:pPr>
            <w:r>
              <w:t>-0.22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0.0227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1.04</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-0.0383</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1.37</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-0.0066</w:t>
            </w:r>
          </w:p>
        </w:tc>
        <w:tc>
          <w:tcPr>
            <w:tcW w:w="709" w:type="dxa"/>
            <w:tcBorders>
              <w:top w:val="nil"/>
              <w:left w:val="nil"/>
              <w:bottom w:val="nil"/>
              <w:right w:val="single" w:sz="3" w:space="0" w:color="000000"/>
              <w:tl2br w:val="nil"/>
              <w:tr2bl w:val="nil"/>
            </w:tcBorders>
            <w:vAlign w:val="center"/>
          </w:tcPr>
          <w:p w:rsidR="00A44840" w:rsidRDefault="00D35F5E">
            <w:pPr>
              <w:pStyle w:val="af0"/>
            </w:pPr>
            <w:r>
              <w:t>-0.28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0.0249</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1.12</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-0.0374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0.0290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1.34</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-0.12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0.0143</w:t>
            </w:r>
          </w:p>
        </w:tc>
        <w:tc>
          <w:tcPr>
            <w:tcW w:w="709" w:type="dxa"/>
            <w:tcBorders>
              <w:top w:val="nil"/>
              <w:left w:val="nil"/>
              <w:bottom w:val="nil"/>
              <w:right w:val="single" w:sz="3" w:space="0" w:color="000000"/>
              <w:tl2br w:val="nil"/>
              <w:tr2bl w:val="nil"/>
            </w:tcBorders>
            <w:vAlign w:val="center"/>
          </w:tcPr>
          <w:p w:rsidR="00A44840" w:rsidRDefault="00D35F5E">
            <w:pPr>
              <w:pStyle w:val="af0"/>
            </w:pPr>
            <w:r>
              <w:t>0.64</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-0.0402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-1.74</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1.36</w:t>
            </w:r>
          </w:p>
        </w:tc>
        <w:tc>
          <w:tcPr>
            <w:tcW w:w="983" w:type="dxa"/>
            <w:tcBorders>
              <w:top w:val="nil"/>
              <w:left w:val="nil"/>
              <w:bottom w:val="nil"/>
              <w:right w:val="nil"/>
              <w:tl2br w:val="nil"/>
              <w:tr2bl w:val="nil"/>
            </w:tcBorders>
            <w:vAlign w:val="center"/>
          </w:tcPr>
          <w:p w:rsidR="00A44840" w:rsidRDefault="00D35F5E">
            <w:pPr>
              <w:pStyle w:val="af0"/>
            </w:pPr>
            <w:r>
              <w:t>0.001</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992" w:type="dxa"/>
            <w:tcBorders>
              <w:top w:val="nil"/>
              <w:left w:val="nil"/>
              <w:bottom w:val="nil"/>
              <w:right w:val="nil"/>
              <w:tl2br w:val="nil"/>
              <w:tr2bl w:val="nil"/>
            </w:tcBorders>
            <w:vAlign w:val="center"/>
          </w:tcPr>
          <w:p w:rsidR="00A44840" w:rsidRDefault="00D35F5E">
            <w:pPr>
              <w:pStyle w:val="af0"/>
            </w:pPr>
            <w:r>
              <w:t xml:space="preserve">　</w:t>
            </w:r>
          </w:p>
        </w:tc>
      </w:tr>
      <w:tr w:rsidR="00A44840" w:rsidTr="00172D02">
        <w:trPr>
          <w:trHeight w:val="345"/>
        </w:trPr>
        <w:tc>
          <w:tcPr>
            <w:tcW w:w="680" w:type="dxa"/>
            <w:tcBorders>
              <w:top w:val="nil"/>
              <w:left w:val="nil"/>
              <w:bottom w:val="nil"/>
              <w:right w:val="single" w:sz="3" w:space="0" w:color="000000"/>
              <w:tl2br w:val="nil"/>
              <w:tr2bl w:val="nil"/>
            </w:tcBorders>
            <w:vAlign w:val="center"/>
          </w:tcPr>
          <w:p w:rsidR="00A44840" w:rsidRDefault="00D35F5E">
            <w:pPr>
              <w:pStyle w:val="af0"/>
            </w:pPr>
            <w:r>
              <w:t>12:30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-1.88</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0.0347</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1.60</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dotted" w:sz="3" w:space="0" w:color="000000"/>
              <w:left w:val="double" w:sz="15" w:space="0" w:color="000000"/>
              <w:bottom w:val="nil"/>
              <w:right w:val="single" w:sz="3" w:space="0" w:color="000000"/>
              <w:tl2br w:val="nil"/>
              <w:tr2bl w:val="nil"/>
            </w:tcBorders>
            <w:vAlign w:val="center"/>
          </w:tcPr>
          <w:p w:rsidR="00A44840" w:rsidRDefault="00D35F5E">
            <w:pPr>
              <w:pStyle w:val="af0"/>
            </w:pPr>
            <w:r>
              <w:t>day</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-0.0165</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-1.17</w:t>
            </w:r>
          </w:p>
        </w:tc>
        <w:tc>
          <w:tcPr>
            <w:tcW w:w="708" w:type="dxa"/>
            <w:tcBorders>
              <w:top w:val="dotted" w:sz="3" w:space="0" w:color="000000"/>
              <w:left w:val="nil"/>
              <w:bottom w:val="nil"/>
              <w:right w:val="single" w:sz="3" w:space="0" w:color="000000"/>
              <w:tl2br w:val="nil"/>
              <w:tr2bl w:val="nil"/>
            </w:tcBorders>
            <w:vAlign w:val="center"/>
          </w:tcPr>
          <w:p w:rsidR="00A44840" w:rsidRDefault="00D35F5E">
            <w:pPr>
              <w:pStyle w:val="af0"/>
            </w:pPr>
            <w:r>
              <w:t>-0.0400</w:t>
            </w:r>
          </w:p>
        </w:tc>
        <w:tc>
          <w:tcPr>
            <w:tcW w:w="709" w:type="dxa"/>
            <w:tcBorders>
              <w:top w:val="dotted" w:sz="3" w:space="0" w:color="000000"/>
              <w:left w:val="nil"/>
              <w:bottom w:val="nil"/>
              <w:right w:val="single" w:sz="3" w:space="0" w:color="000000"/>
              <w:tl2br w:val="nil"/>
              <w:tr2bl w:val="nil"/>
            </w:tcBorders>
            <w:vAlign w:val="center"/>
          </w:tcPr>
          <w:p w:rsidR="00A44840" w:rsidRDefault="00D35F5E">
            <w:pPr>
              <w:pStyle w:val="af0"/>
            </w:pPr>
            <w:r>
              <w:t>-3.04</w:t>
            </w:r>
          </w:p>
        </w:tc>
        <w:tc>
          <w:tcPr>
            <w:tcW w:w="992" w:type="dxa"/>
            <w:tcBorders>
              <w:top w:val="dotted" w:sz="3" w:space="0" w:color="000000"/>
              <w:left w:val="nil"/>
              <w:bottom w:val="nil"/>
              <w:right w:val="nil"/>
              <w:tl2br w:val="nil"/>
              <w:tr2bl w:val="nil"/>
            </w:tcBorders>
            <w:vAlign w:val="center"/>
          </w:tcPr>
          <w:p w:rsidR="00A44840" w:rsidRDefault="00D35F5E">
            <w:pPr>
              <w:pStyle w:val="af0"/>
            </w:pPr>
            <w:r>
              <w:t>0.006</w:t>
            </w:r>
          </w:p>
        </w:tc>
      </w:tr>
      <w:tr w:rsidR="00A44840" w:rsidTr="00172D02">
        <w:trPr>
          <w:trHeight w:val="345"/>
        </w:trPr>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F53020">
            <w:pPr>
              <w:pStyle w:val="af0"/>
            </w:pPr>
            <w:r>
              <w:rPr>
                <w:rFonts w:hint="eastAsia"/>
              </w:rPr>
              <w:t>post-</w:t>
            </w:r>
            <w:r w:rsidR="00D35F5E">
              <w:t>crisis</w:t>
            </w:r>
          </w:p>
        </w:tc>
        <w:tc>
          <w:tcPr>
            <w:tcW w:w="737"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37"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680"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83" w:type="dxa"/>
            <w:tcBorders>
              <w:top w:val="double" w:sz="15" w:space="0" w:color="000000"/>
              <w:left w:val="nil"/>
              <w:bottom w:val="single" w:sz="3" w:space="0" w:color="000000"/>
              <w:right w:val="nil"/>
              <w:tl2br w:val="nil"/>
              <w:tr2bl w:val="nil"/>
            </w:tcBorders>
            <w:vAlign w:val="center"/>
          </w:tcPr>
          <w:p w:rsidR="00A44840" w:rsidRDefault="00D35F5E">
            <w:pPr>
              <w:pStyle w:val="af0"/>
              <w:rPr>
                <w:vertAlign w:val="superscript"/>
              </w:rPr>
            </w:pPr>
            <w:r>
              <w:t>R</w:t>
            </w:r>
            <w:r>
              <w:rPr>
                <w:vertAlign w:val="superscript"/>
              </w:rPr>
              <w:t>2</w:t>
            </w:r>
          </w:p>
        </w:tc>
        <w:tc>
          <w:tcPr>
            <w:tcW w:w="850" w:type="dxa"/>
            <w:tcBorders>
              <w:top w:val="double" w:sz="15" w:space="0" w:color="000000"/>
              <w:left w:val="double" w:sz="15"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a*</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t(a*)</w:t>
            </w:r>
          </w:p>
        </w:tc>
        <w:tc>
          <w:tcPr>
            <w:tcW w:w="708"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b*</w:t>
            </w:r>
          </w:p>
        </w:tc>
        <w:tc>
          <w:tcPr>
            <w:tcW w:w="709" w:type="dxa"/>
            <w:tcBorders>
              <w:top w:val="double" w:sz="15" w:space="0" w:color="000000"/>
              <w:left w:val="nil"/>
              <w:bottom w:val="single" w:sz="3" w:space="0" w:color="000000"/>
              <w:right w:val="single" w:sz="3" w:space="0" w:color="000000"/>
              <w:tl2br w:val="nil"/>
              <w:tr2bl w:val="nil"/>
            </w:tcBorders>
            <w:vAlign w:val="center"/>
          </w:tcPr>
          <w:p w:rsidR="00A44840" w:rsidRDefault="00D35F5E">
            <w:pPr>
              <w:pStyle w:val="af0"/>
            </w:pPr>
            <w:r>
              <w:t>t(b*)</w:t>
            </w:r>
          </w:p>
        </w:tc>
        <w:tc>
          <w:tcPr>
            <w:tcW w:w="992" w:type="dxa"/>
            <w:tcBorders>
              <w:top w:val="double" w:sz="15" w:space="0" w:color="000000"/>
              <w:left w:val="nil"/>
              <w:bottom w:val="single" w:sz="3" w:space="0" w:color="000000"/>
              <w:right w:val="nil"/>
              <w:tl2br w:val="nil"/>
              <w:tr2bl w:val="nil"/>
            </w:tcBorders>
            <w:vAlign w:val="center"/>
          </w:tcPr>
          <w:p w:rsidR="00A44840" w:rsidRDefault="00D35F5E">
            <w:pPr>
              <w:pStyle w:val="af0"/>
              <w:rPr>
                <w:vertAlign w:val="superscript"/>
              </w:rPr>
            </w:pPr>
            <w:r>
              <w:t>R</w:t>
            </w:r>
            <w:r>
              <w:rPr>
                <w:vertAlign w:val="superscript"/>
              </w:rPr>
              <w:t>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-0.0034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-0.06</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0.0743</w:t>
            </w:r>
          </w:p>
        </w:tc>
        <w:tc>
          <w:tcPr>
            <w:tcW w:w="680" w:type="dxa"/>
            <w:tcBorders>
              <w:top w:val="nil"/>
              <w:left w:val="nil"/>
              <w:bottom w:val="nil"/>
              <w:right w:val="single" w:sz="3" w:space="0" w:color="000000"/>
              <w:tl2br w:val="nil"/>
              <w:tr2bl w:val="nil"/>
            </w:tcBorders>
            <w:vAlign w:val="center"/>
          </w:tcPr>
          <w:p w:rsidR="00A44840" w:rsidRDefault="00D35F5E">
            <w:pPr>
              <w:pStyle w:val="af0"/>
            </w:pPr>
            <w:r>
              <w:t>2.35*</w:t>
            </w:r>
          </w:p>
        </w:tc>
        <w:tc>
          <w:tcPr>
            <w:tcW w:w="983" w:type="dxa"/>
            <w:tcBorders>
              <w:top w:val="nil"/>
              <w:left w:val="nil"/>
              <w:bottom w:val="nil"/>
              <w:right w:val="nil"/>
              <w:tl2br w:val="nil"/>
              <w:tr2bl w:val="nil"/>
            </w:tcBorders>
            <w:vAlign w:val="center"/>
          </w:tcPr>
          <w:p w:rsidR="00A44840" w:rsidRDefault="00D35F5E">
            <w:pPr>
              <w:pStyle w:val="af0"/>
            </w:pPr>
            <w:r>
              <w:t>0.004</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12:45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-0.0600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0.0503</w:t>
            </w:r>
          </w:p>
        </w:tc>
        <w:tc>
          <w:tcPr>
            <w:tcW w:w="709" w:type="dxa"/>
            <w:tcBorders>
              <w:top w:val="nil"/>
              <w:left w:val="nil"/>
              <w:bottom w:val="nil"/>
              <w:right w:val="single" w:sz="3" w:space="0" w:color="000000"/>
              <w:tl2br w:val="nil"/>
              <w:tr2bl w:val="nil"/>
            </w:tcBorders>
            <w:vAlign w:val="center"/>
          </w:tcPr>
          <w:p w:rsidR="00A44840" w:rsidRDefault="00D35F5E">
            <w:pPr>
              <w:pStyle w:val="af0"/>
            </w:pPr>
            <w:r>
              <w:t>1.58</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-0.0160</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1.81</w:t>
            </w:r>
          </w:p>
        </w:tc>
        <w:tc>
          <w:tcPr>
            <w:tcW w:w="983" w:type="dxa"/>
            <w:tcBorders>
              <w:top w:val="nil"/>
              <w:left w:val="nil"/>
              <w:bottom w:val="nil"/>
              <w:right w:val="nil"/>
              <w:tl2br w:val="nil"/>
              <w:tr2bl w:val="nil"/>
            </w:tcBorders>
            <w:vAlign w:val="center"/>
          </w:tcPr>
          <w:p w:rsidR="00A44840" w:rsidRDefault="00D35F5E">
            <w:pPr>
              <w:pStyle w:val="af0"/>
            </w:pPr>
            <w:r>
              <w:t>0.003</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-0.0598</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0.0510</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1.60</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-0.0194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-0.36</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1.64</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-0.0622</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-1.16</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0.0496</w:t>
            </w:r>
          </w:p>
        </w:tc>
        <w:tc>
          <w:tcPr>
            <w:tcW w:w="709" w:type="dxa"/>
            <w:tcBorders>
              <w:top w:val="nil"/>
              <w:left w:val="nil"/>
              <w:bottom w:val="nil"/>
              <w:right w:val="single" w:sz="3" w:space="0" w:color="000000"/>
              <w:tl2br w:val="nil"/>
              <w:tr2bl w:val="nil"/>
            </w:tcBorders>
            <w:vAlign w:val="center"/>
          </w:tcPr>
          <w:p w:rsidR="00A44840" w:rsidRDefault="00D35F5E">
            <w:pPr>
              <w:pStyle w:val="af0"/>
            </w:pPr>
            <w:r>
              <w:t>1.56</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9:45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-0.0254</w:t>
            </w:r>
          </w:p>
        </w:tc>
        <w:tc>
          <w:tcPr>
            <w:tcW w:w="680" w:type="dxa"/>
            <w:tcBorders>
              <w:top w:val="nil"/>
              <w:left w:val="nil"/>
              <w:bottom w:val="nil"/>
              <w:right w:val="single" w:sz="3" w:space="0" w:color="000000"/>
              <w:tl2br w:val="nil"/>
              <w:tr2bl w:val="nil"/>
            </w:tcBorders>
            <w:vAlign w:val="center"/>
          </w:tcPr>
          <w:p w:rsidR="00A44840" w:rsidRDefault="00D35F5E">
            <w:pPr>
              <w:pStyle w:val="af0"/>
            </w:pPr>
            <w:r>
              <w:t>-0.47</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0.0522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1.64</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-0.0617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-1.15</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0.0537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1.69</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-0.0292</w:t>
            </w:r>
          </w:p>
        </w:tc>
        <w:tc>
          <w:tcPr>
            <w:tcW w:w="680" w:type="dxa"/>
            <w:tcBorders>
              <w:top w:val="nil"/>
              <w:left w:val="nil"/>
              <w:bottom w:val="nil"/>
              <w:right w:val="single" w:sz="3" w:space="0" w:color="000000"/>
              <w:tl2br w:val="nil"/>
              <w:tr2bl w:val="nil"/>
            </w:tcBorders>
            <w:vAlign w:val="center"/>
          </w:tcPr>
          <w:p w:rsidR="00A44840" w:rsidRDefault="00D35F5E">
            <w:pPr>
              <w:pStyle w:val="af0"/>
            </w:pPr>
            <w:r>
              <w:t>-0.54</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0.0498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1.56</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13:45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-0.0634</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0.0527</w:t>
            </w:r>
          </w:p>
        </w:tc>
        <w:tc>
          <w:tcPr>
            <w:tcW w:w="709" w:type="dxa"/>
            <w:tcBorders>
              <w:top w:val="nil"/>
              <w:left w:val="nil"/>
              <w:bottom w:val="nil"/>
              <w:right w:val="single" w:sz="3" w:space="0" w:color="000000"/>
              <w:tl2br w:val="nil"/>
              <w:tr2bl w:val="nil"/>
            </w:tcBorders>
            <w:vAlign w:val="center"/>
          </w:tcPr>
          <w:p w:rsidR="00A44840" w:rsidRDefault="00D35F5E">
            <w:pPr>
              <w:pStyle w:val="af0"/>
            </w:pPr>
            <w:r>
              <w:t>1.65</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-0.0357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-0.67</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0.0535</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1.68</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-0.0625</w:t>
            </w:r>
          </w:p>
        </w:tc>
        <w:tc>
          <w:tcPr>
            <w:tcW w:w="709" w:type="dxa"/>
            <w:tcBorders>
              <w:top w:val="nil"/>
              <w:left w:val="nil"/>
              <w:bottom w:val="nil"/>
              <w:right w:val="single" w:sz="3" w:space="0" w:color="000000"/>
              <w:tl2br w:val="nil"/>
              <w:tr2bl w:val="nil"/>
            </w:tcBorders>
            <w:vAlign w:val="center"/>
          </w:tcPr>
          <w:p w:rsidR="00A44840" w:rsidRDefault="00D35F5E">
            <w:pPr>
              <w:pStyle w:val="af0"/>
            </w:pPr>
            <w:r>
              <w:t>-1.16</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0.0500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1.57</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-0.0363</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-0.68</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1.66</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-0.0551</w:t>
            </w:r>
          </w:p>
        </w:tc>
        <w:tc>
          <w:tcPr>
            <w:tcW w:w="709" w:type="dxa"/>
            <w:tcBorders>
              <w:top w:val="nil"/>
              <w:left w:val="nil"/>
              <w:bottom w:val="nil"/>
              <w:right w:val="single" w:sz="3" w:space="0" w:color="000000"/>
              <w:tl2br w:val="nil"/>
              <w:tr2bl w:val="nil"/>
            </w:tcBorders>
            <w:vAlign w:val="center"/>
          </w:tcPr>
          <w:p w:rsidR="00A44840" w:rsidRDefault="00D35F5E">
            <w:pPr>
              <w:pStyle w:val="af0"/>
            </w:pPr>
            <w:r>
              <w:t>-1.02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0.0472</w:t>
            </w:r>
          </w:p>
        </w:tc>
        <w:tc>
          <w:tcPr>
            <w:tcW w:w="709" w:type="dxa"/>
            <w:tcBorders>
              <w:top w:val="nil"/>
              <w:left w:val="nil"/>
              <w:bottom w:val="nil"/>
              <w:right w:val="single" w:sz="3" w:space="0" w:color="000000"/>
              <w:tl2br w:val="nil"/>
              <w:tr2bl w:val="nil"/>
            </w:tcBorders>
            <w:vAlign w:val="center"/>
          </w:tcPr>
          <w:p w:rsidR="00A44840" w:rsidRDefault="00D35F5E">
            <w:pPr>
              <w:pStyle w:val="af0"/>
            </w:pPr>
            <w:r>
              <w:t>1.48</w:t>
            </w:r>
          </w:p>
        </w:tc>
        <w:tc>
          <w:tcPr>
            <w:tcW w:w="992" w:type="dxa"/>
            <w:tcBorders>
              <w:top w:val="nil"/>
              <w:left w:val="nil"/>
              <w:bottom w:val="nil"/>
              <w:right w:val="nil"/>
              <w:tl2br w:val="nil"/>
              <w:tr2bl w:val="nil"/>
            </w:tcBorders>
            <w:vAlign w:val="center"/>
          </w:tcPr>
          <w:p w:rsidR="00A44840" w:rsidRDefault="00D35F5E">
            <w:pPr>
              <w:pStyle w:val="af0"/>
            </w:pPr>
            <w:r>
              <w:t>0.002</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10:4</w:t>
            </w:r>
            <w:r>
              <w:lastRenderedPageBreak/>
              <w:t>5</w:t>
            </w:r>
          </w:p>
        </w:tc>
        <w:tc>
          <w:tcPr>
            <w:tcW w:w="737" w:type="dxa"/>
            <w:tcBorders>
              <w:top w:val="nil"/>
              <w:left w:val="nil"/>
              <w:bottom w:val="nil"/>
              <w:right w:val="single" w:sz="3" w:space="0" w:color="000000"/>
              <w:tl2br w:val="nil"/>
              <w:tr2bl w:val="nil"/>
            </w:tcBorders>
            <w:vAlign w:val="center"/>
          </w:tcPr>
          <w:p w:rsidR="00A44840" w:rsidRDefault="00D35F5E">
            <w:pPr>
              <w:pStyle w:val="af0"/>
            </w:pPr>
            <w:r>
              <w:lastRenderedPageBreak/>
              <w:t>-</w:t>
            </w:r>
            <w:r>
              <w:lastRenderedPageBreak/>
              <w:t>0.0387</w:t>
            </w:r>
          </w:p>
        </w:tc>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w:t>
            </w:r>
            <w:r>
              <w:lastRenderedPageBreak/>
              <w:t>0.72</w:t>
            </w:r>
          </w:p>
        </w:tc>
        <w:tc>
          <w:tcPr>
            <w:tcW w:w="737" w:type="dxa"/>
            <w:tcBorders>
              <w:top w:val="nil"/>
              <w:left w:val="nil"/>
              <w:bottom w:val="nil"/>
              <w:right w:val="single" w:sz="3" w:space="0" w:color="000000"/>
              <w:tl2br w:val="nil"/>
              <w:tr2bl w:val="nil"/>
            </w:tcBorders>
            <w:vAlign w:val="center"/>
          </w:tcPr>
          <w:p w:rsidR="00A44840" w:rsidRDefault="00D35F5E">
            <w:pPr>
              <w:pStyle w:val="af0"/>
            </w:pPr>
            <w:r>
              <w:lastRenderedPageBreak/>
              <w:t>0.051</w:t>
            </w:r>
            <w:r>
              <w:lastRenderedPageBreak/>
              <w:t>6</w:t>
            </w:r>
          </w:p>
        </w:tc>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1.62</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14:30</w:t>
            </w:r>
          </w:p>
        </w:tc>
        <w:tc>
          <w:tcPr>
            <w:tcW w:w="709" w:type="dxa"/>
            <w:tcBorders>
              <w:top w:val="nil"/>
              <w:left w:val="nil"/>
              <w:bottom w:val="nil"/>
              <w:right w:val="single" w:sz="3" w:space="0" w:color="000000"/>
              <w:tl2br w:val="nil"/>
              <w:tr2bl w:val="nil"/>
            </w:tcBorders>
            <w:vAlign w:val="center"/>
          </w:tcPr>
          <w:p w:rsidR="00A44840" w:rsidRDefault="00D35F5E">
            <w:pPr>
              <w:pStyle w:val="af0"/>
            </w:pPr>
            <w:r>
              <w:t>-</w:t>
            </w:r>
            <w:r>
              <w:lastRenderedPageBreak/>
              <w:t>0.0550</w:t>
            </w:r>
          </w:p>
        </w:tc>
        <w:tc>
          <w:tcPr>
            <w:tcW w:w="709" w:type="dxa"/>
            <w:tcBorders>
              <w:top w:val="nil"/>
              <w:left w:val="nil"/>
              <w:bottom w:val="nil"/>
              <w:right w:val="single" w:sz="3" w:space="0" w:color="000000"/>
              <w:tl2br w:val="nil"/>
              <w:tr2bl w:val="nil"/>
            </w:tcBorders>
            <w:vAlign w:val="center"/>
          </w:tcPr>
          <w:p w:rsidR="00A44840" w:rsidRDefault="00D35F5E">
            <w:pPr>
              <w:pStyle w:val="af0"/>
            </w:pPr>
            <w:r>
              <w:lastRenderedPageBreak/>
              <w:t>-</w:t>
            </w:r>
            <w:r>
              <w:lastRenderedPageBreak/>
              <w:t>1.02</w:t>
            </w:r>
          </w:p>
        </w:tc>
        <w:tc>
          <w:tcPr>
            <w:tcW w:w="708" w:type="dxa"/>
            <w:tcBorders>
              <w:top w:val="nil"/>
              <w:left w:val="nil"/>
              <w:bottom w:val="nil"/>
              <w:right w:val="single" w:sz="3" w:space="0" w:color="000000"/>
              <w:tl2br w:val="nil"/>
              <w:tr2bl w:val="nil"/>
            </w:tcBorders>
            <w:vAlign w:val="center"/>
          </w:tcPr>
          <w:p w:rsidR="00A44840" w:rsidRDefault="00D35F5E">
            <w:pPr>
              <w:pStyle w:val="af0"/>
            </w:pPr>
            <w:r>
              <w:lastRenderedPageBreak/>
              <w:t>0.041</w:t>
            </w:r>
            <w:r>
              <w:lastRenderedPageBreak/>
              <w:t>4</w:t>
            </w:r>
          </w:p>
        </w:tc>
        <w:tc>
          <w:tcPr>
            <w:tcW w:w="709" w:type="dxa"/>
            <w:tcBorders>
              <w:top w:val="nil"/>
              <w:left w:val="nil"/>
              <w:bottom w:val="nil"/>
              <w:right w:val="single" w:sz="3" w:space="0" w:color="000000"/>
              <w:tl2br w:val="nil"/>
              <w:tr2bl w:val="nil"/>
            </w:tcBorders>
            <w:vAlign w:val="center"/>
          </w:tcPr>
          <w:p w:rsidR="00A44840" w:rsidRDefault="00D35F5E">
            <w:pPr>
              <w:pStyle w:val="af0"/>
            </w:pPr>
            <w:r>
              <w:lastRenderedPageBreak/>
              <w:t>1.30</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lastRenderedPageBreak/>
              <w:t>11:00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-0.0366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-0.68</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0.0511</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1.60</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14:45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-0.0334</w:t>
            </w:r>
          </w:p>
        </w:tc>
        <w:tc>
          <w:tcPr>
            <w:tcW w:w="709" w:type="dxa"/>
            <w:tcBorders>
              <w:top w:val="nil"/>
              <w:left w:val="nil"/>
              <w:bottom w:val="nil"/>
              <w:right w:val="single" w:sz="3" w:space="0" w:color="000000"/>
              <w:tl2br w:val="nil"/>
              <w:tr2bl w:val="nil"/>
            </w:tcBorders>
            <w:vAlign w:val="center"/>
          </w:tcPr>
          <w:p w:rsidR="00A44840" w:rsidRDefault="00D35F5E">
            <w:pPr>
              <w:pStyle w:val="af0"/>
            </w:pPr>
            <w:r>
              <w:t>-0.62</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0.0346</w:t>
            </w:r>
          </w:p>
        </w:tc>
        <w:tc>
          <w:tcPr>
            <w:tcW w:w="709" w:type="dxa"/>
            <w:tcBorders>
              <w:top w:val="nil"/>
              <w:left w:val="nil"/>
              <w:bottom w:val="nil"/>
              <w:right w:val="single" w:sz="3" w:space="0" w:color="000000"/>
              <w:tl2br w:val="nil"/>
              <w:tr2bl w:val="nil"/>
            </w:tcBorders>
            <w:vAlign w:val="center"/>
          </w:tcPr>
          <w:p w:rsidR="00A44840" w:rsidRDefault="00D35F5E">
            <w:pPr>
              <w:pStyle w:val="af0"/>
            </w:pPr>
            <w:r>
              <w:t>1.08</w:t>
            </w:r>
          </w:p>
        </w:tc>
        <w:tc>
          <w:tcPr>
            <w:tcW w:w="992" w:type="dxa"/>
            <w:tcBorders>
              <w:top w:val="nil"/>
              <w:left w:val="nil"/>
              <w:bottom w:val="nil"/>
              <w:right w:val="nil"/>
              <w:tl2br w:val="nil"/>
              <w:tr2bl w:val="nil"/>
            </w:tcBorders>
            <w:vAlign w:val="center"/>
          </w:tcPr>
          <w:p w:rsidR="00A44840" w:rsidRDefault="00D35F5E">
            <w:pPr>
              <w:pStyle w:val="af0"/>
            </w:pPr>
            <w:r>
              <w:t>0.001</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-0.0429</w:t>
            </w:r>
          </w:p>
        </w:tc>
        <w:tc>
          <w:tcPr>
            <w:tcW w:w="680" w:type="dxa"/>
            <w:tcBorders>
              <w:top w:val="nil"/>
              <w:left w:val="nil"/>
              <w:bottom w:val="nil"/>
              <w:right w:val="single" w:sz="3" w:space="0" w:color="000000"/>
              <w:tl2br w:val="nil"/>
              <w:tr2bl w:val="nil"/>
            </w:tcBorders>
            <w:vAlign w:val="center"/>
          </w:tcPr>
          <w:p w:rsidR="00A44840" w:rsidRDefault="00D35F5E">
            <w:pPr>
              <w:pStyle w:val="af0"/>
            </w:pPr>
            <w:r>
              <w:t>-0.80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0.0530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1.67</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14:50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-0.0029</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-0.05</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0.0232</w:t>
            </w:r>
          </w:p>
        </w:tc>
        <w:tc>
          <w:tcPr>
            <w:tcW w:w="709" w:type="dxa"/>
            <w:tcBorders>
              <w:top w:val="nil"/>
              <w:left w:val="nil"/>
              <w:bottom w:val="nil"/>
              <w:right w:val="single" w:sz="3" w:space="0" w:color="000000"/>
              <w:tl2br w:val="nil"/>
              <w:tr2bl w:val="nil"/>
            </w:tcBorders>
            <w:vAlign w:val="center"/>
          </w:tcPr>
          <w:p w:rsidR="00A44840" w:rsidRDefault="00D35F5E">
            <w:pPr>
              <w:pStyle w:val="af0"/>
            </w:pPr>
            <w:r>
              <w:t>0.73</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11:30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-0.0417</w:t>
            </w:r>
          </w:p>
        </w:tc>
        <w:tc>
          <w:tcPr>
            <w:tcW w:w="680" w:type="dxa"/>
            <w:tcBorders>
              <w:top w:val="nil"/>
              <w:left w:val="nil"/>
              <w:bottom w:val="nil"/>
              <w:right w:val="single" w:sz="3" w:space="0" w:color="000000"/>
              <w:tl2br w:val="nil"/>
              <w:tr2bl w:val="nil"/>
            </w:tcBorders>
            <w:vAlign w:val="center"/>
          </w:tcPr>
          <w:p w:rsidR="00A44840" w:rsidRDefault="00D35F5E">
            <w:pPr>
              <w:pStyle w:val="af0"/>
            </w:pPr>
            <w:r>
              <w:t>-0.78</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0.0482</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1.51</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15:00</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-0.0086</w:t>
            </w:r>
          </w:p>
        </w:tc>
        <w:tc>
          <w:tcPr>
            <w:tcW w:w="709" w:type="dxa"/>
            <w:tcBorders>
              <w:top w:val="nil"/>
              <w:left w:val="nil"/>
              <w:bottom w:val="nil"/>
              <w:right w:val="single" w:sz="3" w:space="0" w:color="000000"/>
              <w:tl2br w:val="nil"/>
              <w:tr2bl w:val="nil"/>
            </w:tcBorders>
            <w:vAlign w:val="center"/>
          </w:tcPr>
          <w:p w:rsidR="00A44840" w:rsidRDefault="00D35F5E">
            <w:pPr>
              <w:pStyle w:val="af0"/>
            </w:pPr>
            <w:r>
              <w:t>-0.16</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0.0214</w:t>
            </w:r>
          </w:p>
        </w:tc>
        <w:tc>
          <w:tcPr>
            <w:tcW w:w="709" w:type="dxa"/>
            <w:tcBorders>
              <w:top w:val="nil"/>
              <w:left w:val="nil"/>
              <w:bottom w:val="nil"/>
              <w:right w:val="single" w:sz="3" w:space="0" w:color="000000"/>
              <w:tl2br w:val="nil"/>
              <w:tr2bl w:val="nil"/>
            </w:tcBorders>
            <w:vAlign w:val="center"/>
          </w:tcPr>
          <w:p w:rsidR="00A44840" w:rsidRDefault="00D35F5E">
            <w:pPr>
              <w:pStyle w:val="af0"/>
            </w:pPr>
            <w:r>
              <w:t>0.67</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11:45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-0.0496</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-0.93</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0.0489</w:t>
            </w:r>
          </w:p>
        </w:tc>
        <w:tc>
          <w:tcPr>
            <w:tcW w:w="680" w:type="dxa"/>
            <w:tcBorders>
              <w:top w:val="nil"/>
              <w:left w:val="nil"/>
              <w:bottom w:val="nil"/>
              <w:right w:val="single" w:sz="3" w:space="0" w:color="000000"/>
              <w:tl2br w:val="nil"/>
              <w:tr2bl w:val="nil"/>
            </w:tcBorders>
            <w:vAlign w:val="center"/>
          </w:tcPr>
          <w:p w:rsidR="00A44840" w:rsidRDefault="00D35F5E">
            <w:pPr>
              <w:pStyle w:val="af0"/>
            </w:pPr>
            <w:r>
              <w:t>1.54</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15:05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-0.0151</w:t>
            </w:r>
          </w:p>
        </w:tc>
        <w:tc>
          <w:tcPr>
            <w:tcW w:w="709" w:type="dxa"/>
            <w:tcBorders>
              <w:top w:val="nil"/>
              <w:left w:val="nil"/>
              <w:bottom w:val="nil"/>
              <w:right w:val="single" w:sz="3" w:space="0" w:color="000000"/>
              <w:tl2br w:val="nil"/>
              <w:tr2bl w:val="nil"/>
            </w:tcBorders>
            <w:vAlign w:val="center"/>
          </w:tcPr>
          <w:p w:rsidR="00A44840" w:rsidRDefault="00D35F5E">
            <w:pPr>
              <w:pStyle w:val="af0"/>
            </w:pPr>
            <w:r>
              <w:t>-0.28</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0.0216</w:t>
            </w:r>
          </w:p>
        </w:tc>
        <w:tc>
          <w:tcPr>
            <w:tcW w:w="709" w:type="dxa"/>
            <w:tcBorders>
              <w:top w:val="nil"/>
              <w:left w:val="nil"/>
              <w:bottom w:val="nil"/>
              <w:right w:val="single" w:sz="3" w:space="0" w:color="000000"/>
              <w:tl2br w:val="nil"/>
              <w:tr2bl w:val="nil"/>
            </w:tcBorders>
            <w:vAlign w:val="center"/>
          </w:tcPr>
          <w:p w:rsidR="00A44840" w:rsidRDefault="00D35F5E">
            <w:pPr>
              <w:pStyle w:val="af0"/>
            </w:pPr>
            <w:r>
              <w:t>0.67</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12:00</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-0.0515</w:t>
            </w:r>
          </w:p>
        </w:tc>
        <w:tc>
          <w:tcPr>
            <w:tcW w:w="680" w:type="dxa"/>
            <w:tcBorders>
              <w:top w:val="nil"/>
              <w:left w:val="nil"/>
              <w:bottom w:val="nil"/>
              <w:right w:val="single" w:sz="3" w:space="0" w:color="000000"/>
              <w:tl2br w:val="nil"/>
              <w:tr2bl w:val="nil"/>
            </w:tcBorders>
            <w:vAlign w:val="center"/>
          </w:tcPr>
          <w:p w:rsidR="00A44840" w:rsidRDefault="00D35F5E">
            <w:pPr>
              <w:pStyle w:val="af0"/>
            </w:pPr>
            <w:r>
              <w:t>-0.96</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0.0468</w:t>
            </w:r>
          </w:p>
        </w:tc>
        <w:tc>
          <w:tcPr>
            <w:tcW w:w="680" w:type="dxa"/>
            <w:tcBorders>
              <w:top w:val="nil"/>
              <w:left w:val="nil"/>
              <w:bottom w:val="nil"/>
              <w:right w:val="single" w:sz="3" w:space="0" w:color="000000"/>
              <w:tl2br w:val="nil"/>
              <w:tr2bl w:val="nil"/>
            </w:tcBorders>
            <w:vAlign w:val="center"/>
          </w:tcPr>
          <w:p w:rsidR="00A44840" w:rsidRDefault="00D35F5E">
            <w:pPr>
              <w:pStyle w:val="af0"/>
            </w:pPr>
            <w:r>
              <w:t>1.47</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15:15</w:t>
            </w:r>
          </w:p>
        </w:tc>
        <w:tc>
          <w:tcPr>
            <w:tcW w:w="709" w:type="dxa"/>
            <w:tcBorders>
              <w:top w:val="nil"/>
              <w:left w:val="nil"/>
              <w:bottom w:val="nil"/>
              <w:right w:val="single" w:sz="3" w:space="0" w:color="000000"/>
              <w:tl2br w:val="nil"/>
              <w:tr2bl w:val="nil"/>
            </w:tcBorders>
            <w:vAlign w:val="center"/>
          </w:tcPr>
          <w:p w:rsidR="00A44840" w:rsidRDefault="00D35F5E">
            <w:pPr>
              <w:pStyle w:val="af0"/>
            </w:pPr>
            <w:r>
              <w:t>-0.0169</w:t>
            </w:r>
          </w:p>
        </w:tc>
        <w:tc>
          <w:tcPr>
            <w:tcW w:w="709" w:type="dxa"/>
            <w:tcBorders>
              <w:top w:val="nil"/>
              <w:left w:val="nil"/>
              <w:bottom w:val="nil"/>
              <w:right w:val="single" w:sz="3" w:space="0" w:color="000000"/>
              <w:tl2br w:val="nil"/>
              <w:tr2bl w:val="nil"/>
            </w:tcBorders>
            <w:vAlign w:val="center"/>
          </w:tcPr>
          <w:p w:rsidR="00A44840" w:rsidRDefault="00D35F5E">
            <w:pPr>
              <w:pStyle w:val="af0"/>
            </w:pPr>
            <w:r>
              <w:t>-0.31</w:t>
            </w:r>
          </w:p>
        </w:tc>
        <w:tc>
          <w:tcPr>
            <w:tcW w:w="708" w:type="dxa"/>
            <w:tcBorders>
              <w:top w:val="nil"/>
              <w:left w:val="nil"/>
              <w:bottom w:val="nil"/>
              <w:right w:val="single" w:sz="3" w:space="0" w:color="000000"/>
              <w:tl2br w:val="nil"/>
              <w:tr2bl w:val="nil"/>
            </w:tcBorders>
            <w:vAlign w:val="center"/>
          </w:tcPr>
          <w:p w:rsidR="00A44840" w:rsidRDefault="00D35F5E">
            <w:pPr>
              <w:pStyle w:val="af0"/>
            </w:pPr>
            <w:r>
              <w:t>0.0197</w:t>
            </w:r>
          </w:p>
        </w:tc>
        <w:tc>
          <w:tcPr>
            <w:tcW w:w="709" w:type="dxa"/>
            <w:tcBorders>
              <w:top w:val="nil"/>
              <w:left w:val="nil"/>
              <w:bottom w:val="nil"/>
              <w:right w:val="single" w:sz="3" w:space="0" w:color="000000"/>
              <w:tl2br w:val="nil"/>
              <w:tr2bl w:val="nil"/>
            </w:tcBorders>
            <w:vAlign w:val="center"/>
          </w:tcPr>
          <w:p w:rsidR="00A44840" w:rsidRDefault="00D35F5E">
            <w:pPr>
              <w:pStyle w:val="af0"/>
            </w:pPr>
            <w:r>
              <w:t>0.61</w:t>
            </w:r>
          </w:p>
        </w:tc>
        <w:tc>
          <w:tcPr>
            <w:tcW w:w="992" w:type="dxa"/>
            <w:tcBorders>
              <w:top w:val="nil"/>
              <w:left w:val="nil"/>
              <w:bottom w:val="nil"/>
              <w:right w:val="nil"/>
              <w:tl2br w:val="nil"/>
              <w:tr2bl w:val="nil"/>
            </w:tcBorders>
            <w:vAlign w:val="center"/>
          </w:tcPr>
          <w:p w:rsidR="00A44840" w:rsidRDefault="00D35F5E">
            <w:pPr>
              <w:pStyle w:val="af0"/>
            </w:pPr>
            <w:r>
              <w:t>0.000</w:t>
            </w:r>
          </w:p>
        </w:tc>
      </w:tr>
      <w:tr w:rsidR="00A44840" w:rsidTr="00172D02">
        <w:trPr>
          <w:trHeight w:val="330"/>
        </w:trPr>
        <w:tc>
          <w:tcPr>
            <w:tcW w:w="680" w:type="dxa"/>
            <w:tcBorders>
              <w:top w:val="nil"/>
              <w:left w:val="nil"/>
              <w:bottom w:val="nil"/>
              <w:right w:val="single" w:sz="3" w:space="0" w:color="000000"/>
              <w:tl2br w:val="nil"/>
              <w:tr2bl w:val="nil"/>
            </w:tcBorders>
            <w:vAlign w:val="center"/>
          </w:tcPr>
          <w:p w:rsidR="00A44840" w:rsidRDefault="00D35F5E">
            <w:pPr>
              <w:pStyle w:val="af0"/>
            </w:pPr>
            <w:r>
              <w:t>12:15</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-0.0576</w:t>
            </w:r>
          </w:p>
        </w:tc>
        <w:tc>
          <w:tcPr>
            <w:tcW w:w="680" w:type="dxa"/>
            <w:tcBorders>
              <w:top w:val="nil"/>
              <w:left w:val="nil"/>
              <w:bottom w:val="nil"/>
              <w:right w:val="single" w:sz="3" w:space="0" w:color="000000"/>
              <w:tl2br w:val="nil"/>
              <w:tr2bl w:val="nil"/>
            </w:tcBorders>
            <w:vAlign w:val="center"/>
          </w:tcPr>
          <w:p w:rsidR="00A44840" w:rsidRDefault="00D35F5E">
            <w:pPr>
              <w:pStyle w:val="af0"/>
            </w:pPr>
            <w:r>
              <w:t>-1.07</w:t>
            </w:r>
          </w:p>
        </w:tc>
        <w:tc>
          <w:tcPr>
            <w:tcW w:w="737" w:type="dxa"/>
            <w:tcBorders>
              <w:top w:val="nil"/>
              <w:left w:val="nil"/>
              <w:bottom w:val="nil"/>
              <w:right w:val="single" w:sz="3" w:space="0" w:color="000000"/>
              <w:tl2br w:val="nil"/>
              <w:tr2bl w:val="nil"/>
            </w:tcBorders>
            <w:vAlign w:val="center"/>
          </w:tcPr>
          <w:p w:rsidR="00A44840" w:rsidRDefault="00D35F5E">
            <w:pPr>
              <w:pStyle w:val="af0"/>
            </w:pPr>
            <w:r>
              <w:t>0.0520</w:t>
            </w:r>
          </w:p>
        </w:tc>
        <w:tc>
          <w:tcPr>
            <w:tcW w:w="680" w:type="dxa"/>
            <w:tcBorders>
              <w:top w:val="nil"/>
              <w:left w:val="nil"/>
              <w:bottom w:val="nil"/>
              <w:right w:val="single" w:sz="3" w:space="0" w:color="000000"/>
              <w:tl2br w:val="nil"/>
              <w:tr2bl w:val="nil"/>
            </w:tcBorders>
            <w:vAlign w:val="center"/>
          </w:tcPr>
          <w:p w:rsidR="00A44840" w:rsidRDefault="00D35F5E">
            <w:pPr>
              <w:pStyle w:val="af0"/>
            </w:pPr>
            <w:r>
              <w:t>1.63</w:t>
            </w:r>
          </w:p>
        </w:tc>
        <w:tc>
          <w:tcPr>
            <w:tcW w:w="983" w:type="dxa"/>
            <w:tcBorders>
              <w:top w:val="nil"/>
              <w:left w:val="nil"/>
              <w:bottom w:val="nil"/>
              <w:right w:val="nil"/>
              <w:tl2br w:val="nil"/>
              <w:tr2bl w:val="nil"/>
            </w:tcBorders>
            <w:vAlign w:val="center"/>
          </w:tcPr>
          <w:p w:rsidR="00A44840" w:rsidRDefault="00D35F5E">
            <w:pPr>
              <w:pStyle w:val="af0"/>
            </w:pPr>
            <w:r>
              <w:t>0.002</w:t>
            </w:r>
          </w:p>
        </w:tc>
        <w:tc>
          <w:tcPr>
            <w:tcW w:w="850" w:type="dxa"/>
            <w:tcBorders>
              <w:top w:val="nil"/>
              <w:left w:val="double" w:sz="15" w:space="0" w:color="000000"/>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8"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709" w:type="dxa"/>
            <w:tcBorders>
              <w:top w:val="nil"/>
              <w:left w:val="nil"/>
              <w:bottom w:val="nil"/>
              <w:right w:val="single" w:sz="3" w:space="0" w:color="000000"/>
              <w:tl2br w:val="nil"/>
              <w:tr2bl w:val="nil"/>
            </w:tcBorders>
            <w:vAlign w:val="center"/>
          </w:tcPr>
          <w:p w:rsidR="00A44840" w:rsidRDefault="00D35F5E">
            <w:pPr>
              <w:pStyle w:val="af0"/>
            </w:pPr>
            <w:r>
              <w:t xml:space="preserve">　</w:t>
            </w:r>
          </w:p>
        </w:tc>
        <w:tc>
          <w:tcPr>
            <w:tcW w:w="992" w:type="dxa"/>
            <w:tcBorders>
              <w:top w:val="nil"/>
              <w:left w:val="nil"/>
              <w:bottom w:val="nil"/>
              <w:right w:val="nil"/>
              <w:tl2br w:val="nil"/>
              <w:tr2bl w:val="nil"/>
            </w:tcBorders>
            <w:vAlign w:val="center"/>
          </w:tcPr>
          <w:p w:rsidR="00A44840" w:rsidRDefault="00D35F5E">
            <w:pPr>
              <w:pStyle w:val="af0"/>
            </w:pPr>
            <w:r>
              <w:t xml:space="preserve">　</w:t>
            </w:r>
          </w:p>
        </w:tc>
      </w:tr>
      <w:tr w:rsidR="00A44840" w:rsidTr="00172D02">
        <w:trPr>
          <w:trHeight w:val="330"/>
        </w:trPr>
        <w:tc>
          <w:tcPr>
            <w:tcW w:w="680" w:type="dxa"/>
            <w:tcBorders>
              <w:top w:val="nil"/>
              <w:left w:val="nil"/>
              <w:bottom w:val="single" w:sz="3" w:space="0" w:color="000000"/>
              <w:right w:val="single" w:sz="3" w:space="0" w:color="000000"/>
              <w:tl2br w:val="nil"/>
              <w:tr2bl w:val="nil"/>
            </w:tcBorders>
            <w:vAlign w:val="center"/>
          </w:tcPr>
          <w:p w:rsidR="00A44840" w:rsidRDefault="00D35F5E">
            <w:pPr>
              <w:pStyle w:val="af0"/>
            </w:pPr>
            <w:r>
              <w:t>12:30</w:t>
            </w:r>
          </w:p>
        </w:tc>
        <w:tc>
          <w:tcPr>
            <w:tcW w:w="737" w:type="dxa"/>
            <w:tcBorders>
              <w:top w:val="nil"/>
              <w:left w:val="nil"/>
              <w:bottom w:val="single" w:sz="3" w:space="0" w:color="000000"/>
              <w:right w:val="single" w:sz="3" w:space="0" w:color="000000"/>
              <w:tl2br w:val="nil"/>
              <w:tr2bl w:val="nil"/>
            </w:tcBorders>
            <w:vAlign w:val="center"/>
          </w:tcPr>
          <w:p w:rsidR="00A44840" w:rsidRDefault="00D35F5E">
            <w:pPr>
              <w:pStyle w:val="af0"/>
            </w:pPr>
            <w:r>
              <w:t>-0.0597</w:t>
            </w:r>
          </w:p>
        </w:tc>
        <w:tc>
          <w:tcPr>
            <w:tcW w:w="680" w:type="dxa"/>
            <w:tcBorders>
              <w:top w:val="nil"/>
              <w:left w:val="nil"/>
              <w:bottom w:val="single" w:sz="3" w:space="0" w:color="000000"/>
              <w:right w:val="single" w:sz="3" w:space="0" w:color="000000"/>
              <w:tl2br w:val="nil"/>
              <w:tr2bl w:val="nil"/>
            </w:tcBorders>
            <w:vAlign w:val="center"/>
          </w:tcPr>
          <w:p w:rsidR="00A44840" w:rsidRDefault="00D35F5E">
            <w:pPr>
              <w:pStyle w:val="af0"/>
            </w:pPr>
            <w:r>
              <w:t>-1.11</w:t>
            </w:r>
          </w:p>
        </w:tc>
        <w:tc>
          <w:tcPr>
            <w:tcW w:w="737" w:type="dxa"/>
            <w:tcBorders>
              <w:top w:val="nil"/>
              <w:left w:val="nil"/>
              <w:bottom w:val="single" w:sz="3" w:space="0" w:color="000000"/>
              <w:right w:val="single" w:sz="3" w:space="0" w:color="000000"/>
              <w:tl2br w:val="nil"/>
              <w:tr2bl w:val="nil"/>
            </w:tcBorders>
            <w:vAlign w:val="center"/>
          </w:tcPr>
          <w:p w:rsidR="00A44840" w:rsidRDefault="00D35F5E">
            <w:pPr>
              <w:pStyle w:val="af0"/>
            </w:pPr>
            <w:r>
              <w:t>0.0496</w:t>
            </w:r>
          </w:p>
        </w:tc>
        <w:tc>
          <w:tcPr>
            <w:tcW w:w="680" w:type="dxa"/>
            <w:tcBorders>
              <w:top w:val="nil"/>
              <w:left w:val="nil"/>
              <w:bottom w:val="single" w:sz="3" w:space="0" w:color="000000"/>
              <w:right w:val="single" w:sz="3" w:space="0" w:color="000000"/>
              <w:tl2br w:val="nil"/>
              <w:tr2bl w:val="nil"/>
            </w:tcBorders>
            <w:vAlign w:val="center"/>
          </w:tcPr>
          <w:p w:rsidR="00A44840" w:rsidRDefault="00D35F5E">
            <w:pPr>
              <w:pStyle w:val="af0"/>
            </w:pPr>
            <w:r>
              <w:t>1.55</w:t>
            </w:r>
          </w:p>
        </w:tc>
        <w:tc>
          <w:tcPr>
            <w:tcW w:w="983" w:type="dxa"/>
            <w:tcBorders>
              <w:top w:val="nil"/>
              <w:left w:val="nil"/>
              <w:bottom w:val="single" w:sz="3" w:space="0" w:color="000000"/>
              <w:right w:val="nil"/>
              <w:tl2br w:val="nil"/>
              <w:tr2bl w:val="nil"/>
            </w:tcBorders>
            <w:vAlign w:val="center"/>
          </w:tcPr>
          <w:p w:rsidR="00A44840" w:rsidRDefault="00D35F5E">
            <w:pPr>
              <w:pStyle w:val="af0"/>
            </w:pPr>
            <w:r>
              <w:t>0.002</w:t>
            </w:r>
          </w:p>
        </w:tc>
        <w:tc>
          <w:tcPr>
            <w:tcW w:w="850" w:type="dxa"/>
            <w:tcBorders>
              <w:top w:val="dotted" w:sz="3" w:space="0" w:color="000000"/>
              <w:left w:val="double" w:sz="15" w:space="0" w:color="000000"/>
              <w:bottom w:val="single" w:sz="3" w:space="0" w:color="000000"/>
              <w:right w:val="single" w:sz="3" w:space="0" w:color="000000"/>
              <w:tl2br w:val="nil"/>
              <w:tr2bl w:val="nil"/>
            </w:tcBorders>
            <w:vAlign w:val="center"/>
          </w:tcPr>
          <w:p w:rsidR="00A44840" w:rsidRDefault="00D35F5E">
            <w:pPr>
              <w:pStyle w:val="af0"/>
            </w:pPr>
            <w:r>
              <w:t>day</w:t>
            </w:r>
          </w:p>
        </w:tc>
        <w:tc>
          <w:tcPr>
            <w:tcW w:w="709" w:type="dxa"/>
            <w:tcBorders>
              <w:top w:val="dotted" w:sz="3" w:space="0" w:color="000000"/>
              <w:left w:val="nil"/>
              <w:bottom w:val="single" w:sz="3" w:space="0" w:color="000000"/>
              <w:right w:val="single" w:sz="3" w:space="0" w:color="000000"/>
              <w:tl2br w:val="nil"/>
              <w:tr2bl w:val="nil"/>
            </w:tcBorders>
            <w:vAlign w:val="center"/>
          </w:tcPr>
          <w:p w:rsidR="00A44840" w:rsidRDefault="00D35F5E">
            <w:pPr>
              <w:pStyle w:val="af0"/>
            </w:pPr>
            <w:r>
              <w:t>-0.0135</w:t>
            </w:r>
          </w:p>
        </w:tc>
        <w:tc>
          <w:tcPr>
            <w:tcW w:w="709" w:type="dxa"/>
            <w:tcBorders>
              <w:top w:val="dotted" w:sz="3" w:space="0" w:color="000000"/>
              <w:left w:val="nil"/>
              <w:bottom w:val="single" w:sz="3" w:space="0" w:color="000000"/>
              <w:right w:val="single" w:sz="3" w:space="0" w:color="000000"/>
              <w:tl2br w:val="nil"/>
              <w:tr2bl w:val="nil"/>
            </w:tcBorders>
            <w:vAlign w:val="center"/>
          </w:tcPr>
          <w:p w:rsidR="00A44840" w:rsidRDefault="00D35F5E">
            <w:pPr>
              <w:pStyle w:val="af0"/>
            </w:pPr>
            <w:r>
              <w:t>-1.23</w:t>
            </w:r>
          </w:p>
        </w:tc>
        <w:tc>
          <w:tcPr>
            <w:tcW w:w="708" w:type="dxa"/>
            <w:tcBorders>
              <w:top w:val="dotted" w:sz="3" w:space="0" w:color="000000"/>
              <w:left w:val="nil"/>
              <w:bottom w:val="single" w:sz="3" w:space="0" w:color="000000"/>
              <w:right w:val="single" w:sz="3" w:space="0" w:color="000000"/>
              <w:tl2br w:val="nil"/>
              <w:tr2bl w:val="nil"/>
            </w:tcBorders>
            <w:vAlign w:val="center"/>
          </w:tcPr>
          <w:p w:rsidR="00A44840" w:rsidRDefault="00D35F5E">
            <w:pPr>
              <w:pStyle w:val="af0"/>
            </w:pPr>
            <w:r>
              <w:t>-0.0547</w:t>
            </w:r>
          </w:p>
        </w:tc>
        <w:tc>
          <w:tcPr>
            <w:tcW w:w="709" w:type="dxa"/>
            <w:tcBorders>
              <w:top w:val="dotted" w:sz="3" w:space="0" w:color="000000"/>
              <w:left w:val="nil"/>
              <w:bottom w:val="single" w:sz="3" w:space="0" w:color="000000"/>
              <w:right w:val="single" w:sz="3" w:space="0" w:color="000000"/>
              <w:tl2br w:val="nil"/>
              <w:tr2bl w:val="nil"/>
            </w:tcBorders>
            <w:vAlign w:val="center"/>
          </w:tcPr>
          <w:p w:rsidR="00A44840" w:rsidRDefault="00D35F5E">
            <w:pPr>
              <w:pStyle w:val="af0"/>
            </w:pPr>
            <w:r>
              <w:t>-8.36</w:t>
            </w:r>
          </w:p>
        </w:tc>
        <w:tc>
          <w:tcPr>
            <w:tcW w:w="992" w:type="dxa"/>
            <w:tcBorders>
              <w:top w:val="dotted" w:sz="3" w:space="0" w:color="000000"/>
              <w:left w:val="nil"/>
              <w:bottom w:val="single" w:sz="3" w:space="0" w:color="000000"/>
              <w:right w:val="nil"/>
              <w:tl2br w:val="nil"/>
              <w:tr2bl w:val="nil"/>
            </w:tcBorders>
            <w:vAlign w:val="center"/>
          </w:tcPr>
          <w:p w:rsidR="00A44840" w:rsidRDefault="00D35F5E">
            <w:pPr>
              <w:pStyle w:val="af0"/>
            </w:pPr>
            <w:r>
              <w:t>0.052</w:t>
            </w:r>
          </w:p>
        </w:tc>
      </w:tr>
    </w:tbl>
    <w:p w:rsidR="00A44840" w:rsidRDefault="00A44840">
      <w:pPr>
        <w:rPr>
          <w:sz w:val="2"/>
        </w:rPr>
      </w:pPr>
    </w:p>
    <w:p w:rsidR="00A44840" w:rsidRDefault="00A44840">
      <w:pPr>
        <w:pStyle w:val="a8"/>
        <w:ind w:firstLine="0"/>
      </w:pPr>
    </w:p>
    <w:p w:rsidR="00A44840" w:rsidRDefault="00A44840">
      <w:pPr>
        <w:pStyle w:val="a8"/>
        <w:ind w:firstLine="0"/>
      </w:pPr>
    </w:p>
    <w:p w:rsidR="00A44840" w:rsidRDefault="00A44840">
      <w:pPr>
        <w:pStyle w:val="reference"/>
      </w:pPr>
    </w:p>
    <w:p w:rsidR="00A44840" w:rsidRDefault="004E4790">
      <w:r>
        <w:rPr>
          <w:noProof/>
        </w:rPr>
      </w:r>
      <w:r w:rsidR="003D65C8">
        <w:rPr>
          <w:noProof/>
        </w:rPr>
        <w:pict>
          <v:rect id="_x0000_s1113894792" o:spid="_x0000_s1026" style="width:50pt;height:50pt;visibility:visible;mso-wrap-style:non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Z6tQIAAK4FAAAOAAAAZHJzL2Uyb0RvYy54bWysVN9vmzAQfp+0/8HyOwUTSAIqqboQpknd&#10;Vqnbc+WACdbARrYb0k3733c2IU26l2mbH6yzfb5f33d3fXPoWrRnSnMpMkyuAoyYKGXFxS7DX78U&#10;3hIjbaioaCsFy/Az0/hm9fbN9dCnLJSNbCumEBgROh36DDfG9Knv67JhHdVXsmcCHmupOmrgqHZ+&#10;pegA1rvWD4Ng7g9SVb2SJdMabvPxEa+c/bpmpflc15oZ1GYYYjNuV27f2t1fXdN0p2jf8PIYBv2L&#10;KDrKBTg9mcqpoehJ8d9MdbxUUsvaXJWy82Vd85K5HCAbErzK5qGhPXO5QHF0fyqT/n9my0/7e4V4&#10;lWEAStAOIHo8BLAeNSFktkyiRRLaKg29TkH5ob9XNk/d38nym0ZCrhsqduxWKTk0jFYQG7H6/sUH&#10;e9DwFW2Hj7ICJ/TJSFewQ606axBKgQ4Ol+cTLuxgUAmXcxIGi3mMUQlvs2AWJ7PY+aDp9L1X2rxn&#10;skNWyLAC4J15ur/TxoZD00nFehOy4G3rwG/FxQUojjfgHL7aNxuGw/JHEiSb5WYZeVE433hRkOfe&#10;bbGOvHlBFnE+y9frnPy0fkmUNryqmLBuJl6R6M9wOzJ8ZMSJWVq2vLLmbEha7bbrVqE9BV4Xbh0L&#10;cqbmX4bhigC5vEqJhFHwLky8Yr5ceFERxV6yCJZeQJJ3yTyIkigvLlO644L9e0poyHASh7FD6Szo&#10;V7lZKgauTQGYC7WOG5gcLe+AuiclmloObkTloDWUt6N8Vgob/kspwOoEtGOsJelIdnPYHlxjkGji&#10;/1ZWz8BhJYFhMExg7IHQSPUdowFGSIYFzDiM2g8CusBOm0lQk7CdBCpK+Jhhg9Eors04lZ56xXcN&#10;2CVjZfpb6JSCOw7bLhpjOPYXDAWXynGA2alzfnZaL2N29QsAAP//AwBQSwMEFAAGAAgAAAAhAC8G&#10;4wHWAAAABQEAAA8AAABkcnMvZG93bnJldi54bWxMj81qwzAQhO+FvIPYQm+N1BxKcC2HUgikpZc4&#10;fQDFWv9QaddISuy8fZRSaC/LDrPMflNuZu/EGUMcmDQ8LRUIpIbtQJ2Gr8P2cQ0iJkPWOCbUcMEI&#10;m2pxV5rC8kR7PNepEzmEYmE09CmNhZSx6dGbuOQRKXstB29SlqGTNpgph3snV0o9S28Gyh96M+Jb&#10;j813ffIa5KHeTuvaBcUfq/bTve/2LbLWD/fz6wuIhHP6O4YbfkaHKjMd+UQ2CqchF0k/8+YpleXx&#10;d5FVKf/TV1cAAAD//wMAUEsBAi0AFAAGAAgAAAAhALaDOJL+AAAA4QEAABMAAAAAAAAAAAAAAAAA&#10;AAAAAFtDb250ZW50X1R5cGVzXS54bWxQSwECLQAUAAYACAAAACEAOP0h/9YAAACUAQAACwAAAAAA&#10;AAAAAAAAAAAvAQAAX3JlbHMvLnJlbHNQSwECLQAUAAYACAAAACEA0rEGerUCAACuBQAADgAAAAAA&#10;AAAAAAAAAAAuAgAAZHJzL2Uyb0RvYy54bWxQSwECLQAUAAYACAAAACEALwbjAdYAAAAFAQAADwAA&#10;AAAAAAAAAAAAAAAPBQAAZHJzL2Rvd25yZXYueG1sUEsFBgAAAAAEAAQA8wAAABIGAAAAAA==&#10;" filled="f" stroked="f">
            <v:textbox style="mso-fit-shape-to-text:t" inset="0,0,0,0">
              <w:txbxContent>
                <w:p w:rsidR="006B03CF" w:rsidRDefault="006B03CF">
                  <w:pPr>
                    <w:pStyle w:val="af1"/>
                  </w:pPr>
                </w:p>
                <w:p w:rsidR="006B03CF" w:rsidRDefault="006B03CF">
                  <w:pPr>
                    <w:pStyle w:val="af1"/>
                  </w:pPr>
                </w:p>
                <w:p w:rsidR="006B03CF" w:rsidRDefault="006B03CF">
                  <w:pPr>
                    <w:pStyle w:val="af"/>
                  </w:pPr>
                </w:p>
                <w:p w:rsidR="006B03CF" w:rsidRDefault="006B03CF">
                  <w:pPr>
                    <w:pStyle w:val="af1"/>
                  </w:pPr>
                </w:p>
                <w:p w:rsidR="006B03CF" w:rsidRDefault="006B03CF">
                  <w:pPr>
                    <w:pStyle w:val="af1"/>
                  </w:pPr>
                </w:p>
                <w:p w:rsidR="006B03CF" w:rsidRDefault="006B03CF">
                  <w:pPr>
                    <w:pStyle w:val="af1"/>
                  </w:pPr>
                </w:p>
                <w:p w:rsidR="006B03CF" w:rsidRDefault="006B03CF">
                  <w:pPr>
                    <w:pStyle w:val="af1"/>
                  </w:pPr>
                </w:p>
                <w:p w:rsidR="006B03CF" w:rsidRDefault="006B03CF">
                  <w:pPr>
                    <w:pStyle w:val="af1"/>
                  </w:pPr>
                </w:p>
                <w:p w:rsidR="006B03CF" w:rsidRDefault="006B03CF">
                  <w:pPr>
                    <w:pStyle w:val="af1"/>
                    <w:rPr>
                      <w:spacing w:val="5"/>
                      <w:sz w:val="18"/>
                      <w:szCs w:val="18"/>
                    </w:rPr>
                  </w:pPr>
                  <w:r>
                    <w:t>&lt;Appendix E&gt; Trading volume for each time interval classified by U</w:t>
                  </w:r>
                  <w:r>
                    <w:rPr>
                      <w:rFonts w:hint="eastAsia"/>
                    </w:rPr>
                    <w:t>.</w:t>
                  </w:r>
                  <w:r>
                    <w:t>S</w:t>
                  </w:r>
                  <w:r>
                    <w:rPr>
                      <w:rFonts w:hint="eastAsia"/>
                    </w:rPr>
                    <w:t>.</w:t>
                  </w:r>
                  <w:r>
                    <w:t xml:space="preserve"> stock price change categories</w:t>
                  </w:r>
                </w:p>
                <w:p w:rsidR="006B03CF" w:rsidRDefault="006B03CF">
                  <w:pPr>
                    <w:pStyle w:val="af1"/>
                    <w:wordWrap w:val="0"/>
                    <w:jc w:val="both"/>
                    <w:rPr>
                      <w:spacing w:val="5"/>
                      <w:sz w:val="18"/>
                      <w:szCs w:val="18"/>
                    </w:rPr>
                  </w:pPr>
                  <m:oMath>
                    <m:r>
                      <m:rPr>
                        <m:sty m:val="p"/>
                      </m:rPr>
                      <w:rPr>
                        <w:rFonts w:ascii="Cambria Math"/>
                        <w:sz w:val="18"/>
                        <w:szCs w:val="18"/>
                      </w:rPr>
                      <m:t>r_</m:t>
                    </m:r>
                    <m:r>
                      <m:rPr>
                        <m:sty m:val="p"/>
                      </m:rPr>
                      <w:rPr>
                        <w:rFonts w:ascii="Cambria Math"/>
                        <w:sz w:val="18"/>
                        <w:szCs w:val="18"/>
                      </w:rPr>
                      <m:t>〖</m:t>
                    </m:r>
                    <m:r>
                      <m:rPr>
                        <m:sty m:val="p"/>
                      </m:rPr>
                      <w:rPr>
                        <w:rFonts w:ascii="Cambria Math"/>
                        <w:sz w:val="18"/>
                        <w:szCs w:val="18"/>
                      </w:rPr>
                      <m:t>us</m:t>
                    </m:r>
                    <m:r>
                      <m:rPr>
                        <m:sty m:val="p"/>
                      </m:rPr>
                      <w:rPr>
                        <w:rFonts w:ascii="Cambria Math"/>
                        <w:sz w:val="18"/>
                        <w:szCs w:val="18"/>
                      </w:rPr>
                      <m:t>〗</m:t>
                    </m:r>
                    <m:r>
                      <m:rPr>
                        <m:sty m:val="p"/>
                      </m:rPr>
                      <w:rPr>
                        <w:rFonts w:ascii="Cambria Math"/>
                        <w:sz w:val="18"/>
                        <w:szCs w:val="18"/>
                      </w:rPr>
                      <m:t xml:space="preserve"> </m:t>
                    </m:r>
                  </m:oMath>
                  <w:r>
                    <w:rPr>
                      <w:spacing w:val="5"/>
                      <w:sz w:val="18"/>
                      <w:szCs w:val="18"/>
                    </w:rPr>
                    <w:t xml:space="preserve"> </w:t>
                  </w:r>
                  <w:proofErr w:type="gramStart"/>
                  <w:r>
                    <w:rPr>
                      <w:spacing w:val="5"/>
                      <w:sz w:val="18"/>
                      <w:szCs w:val="18"/>
                    </w:rPr>
                    <w:t>is</w:t>
                  </w:r>
                  <w:proofErr w:type="gramEnd"/>
                  <w:r>
                    <w:rPr>
                      <w:spacing w:val="5"/>
                      <w:sz w:val="18"/>
                      <w:szCs w:val="18"/>
                    </w:rPr>
                    <w:t xml:space="preserve"> </w:t>
                  </w:r>
                  <w:r>
                    <w:rPr>
                      <w:rFonts w:hint="eastAsia"/>
                      <w:spacing w:val="5"/>
                      <w:sz w:val="18"/>
                      <w:szCs w:val="18"/>
                    </w:rPr>
                    <w:t xml:space="preserve">the </w:t>
                  </w:r>
                  <w:r>
                    <w:rPr>
                      <w:spacing w:val="5"/>
                      <w:sz w:val="18"/>
                      <w:szCs w:val="18"/>
                    </w:rPr>
                    <w:t>S&amp;P</w:t>
                  </w:r>
                  <w:r>
                    <w:rPr>
                      <w:rFonts w:hint="eastAsia"/>
                      <w:spacing w:val="5"/>
                      <w:sz w:val="18"/>
                      <w:szCs w:val="18"/>
                    </w:rPr>
                    <w:t xml:space="preserve"> </w:t>
                  </w:r>
                  <w:r>
                    <w:rPr>
                      <w:spacing w:val="5"/>
                      <w:sz w:val="18"/>
                      <w:szCs w:val="18"/>
                    </w:rPr>
                    <w:t xml:space="preserve">500 daily return on date t-1. </w:t>
                  </w:r>
                  <w:r>
                    <w:rPr>
                      <w:rFonts w:hint="eastAsia"/>
                      <w:spacing w:val="5"/>
                      <w:sz w:val="18"/>
                      <w:szCs w:val="18"/>
                    </w:rPr>
                    <w:t>The t</w:t>
                  </w:r>
                  <w:r>
                    <w:rPr>
                      <w:spacing w:val="5"/>
                      <w:sz w:val="18"/>
                      <w:szCs w:val="18"/>
                    </w:rPr>
                    <w:t xml:space="preserve">rading volume ratio is the trading volume at the given time interval divided by the trading for the </w:t>
                  </w:r>
                  <w:r>
                    <w:rPr>
                      <w:rFonts w:hint="eastAsia"/>
                      <w:spacing w:val="5"/>
                      <w:sz w:val="18"/>
                      <w:szCs w:val="18"/>
                    </w:rPr>
                    <w:t>entire</w:t>
                  </w:r>
                  <w:r>
                    <w:rPr>
                      <w:spacing w:val="5"/>
                      <w:sz w:val="18"/>
                      <w:szCs w:val="18"/>
                    </w:rPr>
                    <w:t xml:space="preserve"> day. The unit is %. The total observation for the cash market is 2,891 while that for the futures market is 2,848. The difference is due to the elimination of the dates from January 2, 2002 to March 8, 2002 in the futures data. The elimination is due to errors in the data set. N is </w:t>
                  </w:r>
                  <w:r>
                    <w:rPr>
                      <w:rFonts w:hint="eastAsia"/>
                      <w:spacing w:val="5"/>
                      <w:sz w:val="18"/>
                      <w:szCs w:val="18"/>
                    </w:rPr>
                    <w:t xml:space="preserve">the </w:t>
                  </w:r>
                  <w:r>
                    <w:rPr>
                      <w:spacing w:val="5"/>
                      <w:sz w:val="18"/>
                      <w:szCs w:val="18"/>
                    </w:rPr>
                    <w:t xml:space="preserve">observation numbers </w:t>
                  </w:r>
                  <w:r>
                    <w:rPr>
                      <w:rFonts w:hint="eastAsia"/>
                      <w:spacing w:val="5"/>
                      <w:sz w:val="18"/>
                      <w:szCs w:val="18"/>
                    </w:rPr>
                    <w:t>at</w:t>
                  </w:r>
                  <w:r>
                    <w:rPr>
                      <w:spacing w:val="5"/>
                      <w:sz w:val="18"/>
                      <w:szCs w:val="18"/>
                    </w:rPr>
                    <w:t xml:space="preserve"> each interval. All the estimates are significant at </w:t>
                  </w:r>
                  <w:r>
                    <w:rPr>
                      <w:rFonts w:hint="eastAsia"/>
                      <w:spacing w:val="5"/>
                      <w:sz w:val="18"/>
                      <w:szCs w:val="18"/>
                    </w:rPr>
                    <w:t xml:space="preserve">the </w:t>
                  </w:r>
                  <w:r>
                    <w:rPr>
                      <w:spacing w:val="5"/>
                      <w:sz w:val="18"/>
                      <w:szCs w:val="18"/>
                    </w:rPr>
                    <w:t>1% significance level. S.D. denotes</w:t>
                  </w:r>
                  <w:r>
                    <w:rPr>
                      <w:rFonts w:hint="eastAsia"/>
                      <w:spacing w:val="5"/>
                      <w:sz w:val="18"/>
                      <w:szCs w:val="18"/>
                    </w:rPr>
                    <w:t xml:space="preserve"> the</w:t>
                  </w:r>
                  <w:r>
                    <w:rPr>
                      <w:spacing w:val="5"/>
                      <w:sz w:val="18"/>
                      <w:szCs w:val="18"/>
                    </w:rPr>
                    <w:t xml:space="preserve"> standard deviation. </w:t>
                  </w:r>
                </w:p>
              </w:txbxContent>
            </v:textbox>
            <w10:wrap type="none"/>
            <w10:anchorlock/>
          </v:rect>
        </w:pict>
      </w:r>
    </w:p>
    <w:tbl>
      <w:tblPr>
        <w:tblW w:w="0" w:type="auto"/>
        <w:tblLayout w:type="fixed"/>
        <w:tblCellMar>
          <w:top w:w="28" w:type="dxa"/>
          <w:left w:w="102" w:type="dxa"/>
          <w:bottom w:w="28" w:type="dxa"/>
          <w:right w:w="102" w:type="dxa"/>
        </w:tblCellMar>
        <w:tblLook w:val="04A0" w:firstRow="1" w:lastRow="0" w:firstColumn="1" w:lastColumn="0" w:noHBand="0" w:noVBand="1"/>
      </w:tblPr>
      <w:tblGrid>
        <w:gridCol w:w="737"/>
        <w:gridCol w:w="810"/>
        <w:gridCol w:w="811"/>
        <w:gridCol w:w="810"/>
        <w:gridCol w:w="811"/>
        <w:gridCol w:w="810"/>
        <w:gridCol w:w="811"/>
        <w:gridCol w:w="810"/>
        <w:gridCol w:w="811"/>
        <w:gridCol w:w="810"/>
        <w:gridCol w:w="811"/>
      </w:tblGrid>
      <w:tr w:rsidR="00A44840">
        <w:trPr>
          <w:trHeight w:val="329"/>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rPr>
                <w:b/>
                <w:bCs/>
              </w:rPr>
            </w:pPr>
            <w:r>
              <w:rPr>
                <w:b/>
                <w:bCs/>
              </w:rPr>
              <w:t>cash</w:t>
            </w:r>
          </w:p>
        </w:tc>
        <w:tc>
          <w:tcPr>
            <w:tcW w:w="1621" w:type="dxa"/>
            <w:gridSpan w:val="2"/>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4E4790">
            <w:pPr>
              <w:pStyle w:val="af0"/>
            </w:pPr>
            <m:oMath>
              <m:sSub>
                <m:sSubPr>
                  <m:ctrlPr>
                    <w:rPr>
                      <w:rFonts w:ascii="Cambria Math" w:hAnsi="Cambria Math"/>
                    </w:rPr>
                  </m:ctrlPr>
                </m:sSubPr>
                <m:e>
                  <m:r>
                    <m:rPr>
                      <m:sty m:val="p"/>
                    </m:rPr>
                    <w:rPr>
                      <w:rFonts w:ascii="Cambria Math"/>
                    </w:rPr>
                    <m:t>r</m:t>
                  </m:r>
                </m:e>
                <m:sub>
                  <m:r>
                    <m:rPr>
                      <m:sty m:val="p"/>
                    </m:rPr>
                    <w:rPr>
                      <w:rFonts w:ascii="Cambria Math"/>
                    </w:rPr>
                    <m:t>us</m:t>
                  </m:r>
                </m:sub>
              </m:sSub>
              <m:r>
                <m:rPr>
                  <m:sty m:val="p"/>
                </m:rPr>
                <w:rPr>
                  <w:rFonts w:ascii="Cambria Math"/>
                </w:rPr>
                <m:t>≤-</m:t>
              </m:r>
              <m:r>
                <m:rPr>
                  <m:sty m:val="p"/>
                </m:rPr>
                <w:rPr>
                  <w:rFonts w:ascii="Cambria Math"/>
                </w:rPr>
                <m:t>2%</m:t>
              </m:r>
            </m:oMath>
            <w:r w:rsidR="00D35F5E">
              <w:t xml:space="preserve">　</w:t>
            </w:r>
          </w:p>
        </w:tc>
        <w:tc>
          <w:tcPr>
            <w:tcW w:w="1621" w:type="dxa"/>
            <w:gridSpan w:val="2"/>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172D02">
            <w:pPr>
              <w:pStyle w:val="af0"/>
            </w:pPr>
            <m:oMathPara>
              <m:oMath>
                <m:r>
                  <m:rPr>
                    <m:sty m:val="p"/>
                  </m:rPr>
                  <w:rPr>
                    <w:rFonts w:ascii="Cambria Math"/>
                  </w:rPr>
                  <m:t>-</m:t>
                </m:r>
                <m:r>
                  <m:rPr>
                    <m:sty m:val="p"/>
                  </m:rPr>
                  <w:rPr>
                    <w:rFonts w:ascii="Cambria Math"/>
                  </w:rPr>
                  <m:t>2%</m:t>
                </m:r>
                <m:r>
                  <w:rPr>
                    <w:rFonts w:ascii="Cambria Math"/>
                  </w:rPr>
                  <m:t>&lt;</m:t>
                </m:r>
                <m:sSub>
                  <m:sSubPr>
                    <m:ctrlPr>
                      <w:rPr>
                        <w:rFonts w:ascii="Cambria Math" w:hAnsi="Cambria Math"/>
                      </w:rPr>
                    </m:ctrlPr>
                  </m:sSubPr>
                  <m:e>
                    <m:r>
                      <m:rPr>
                        <m:sty m:val="p"/>
                      </m:rPr>
                      <w:rPr>
                        <w:rFonts w:ascii="Cambria Math"/>
                      </w:rPr>
                      <m:t>r</m:t>
                    </m:r>
                  </m:e>
                  <m:sub>
                    <m:r>
                      <m:rPr>
                        <m:sty m:val="p"/>
                      </m:rPr>
                      <w:rPr>
                        <w:rFonts w:ascii="Cambria Math"/>
                      </w:rPr>
                      <m:t>us</m:t>
                    </m:r>
                  </m:sub>
                </m:sSub>
                <m:r>
                  <m:rPr>
                    <m:sty m:val="p"/>
                  </m:rPr>
                  <w:rPr>
                    <w:rFonts w:ascii="Cambria Math"/>
                  </w:rPr>
                  <m:t>≤-</m:t>
                </m:r>
                <m:r>
                  <m:rPr>
                    <m:sty m:val="p"/>
                  </m:rPr>
                  <w:rPr>
                    <w:rFonts w:ascii="Cambria Math"/>
                  </w:rPr>
                  <m:t>1%</m:t>
                </m:r>
              </m:oMath>
            </m:oMathPara>
          </w:p>
        </w:tc>
        <w:tc>
          <w:tcPr>
            <w:tcW w:w="1621" w:type="dxa"/>
            <w:gridSpan w:val="2"/>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172D02">
            <w:pPr>
              <w:pStyle w:val="af0"/>
            </w:pPr>
            <m:oMathPara>
              <m:oMath>
                <m:r>
                  <m:rPr>
                    <m:sty m:val="p"/>
                  </m:rPr>
                  <w:rPr>
                    <w:rFonts w:ascii="Cambria Math"/>
                  </w:rPr>
                  <m:t>-</m:t>
                </m:r>
                <m:r>
                  <m:rPr>
                    <m:sty m:val="p"/>
                  </m:rPr>
                  <w:rPr>
                    <w:rFonts w:ascii="Cambria Math"/>
                  </w:rPr>
                  <m:t>1%</m:t>
                </m:r>
                <m:r>
                  <w:rPr>
                    <w:rFonts w:ascii="Cambria Math"/>
                  </w:rPr>
                  <m:t>&lt;</m:t>
                </m:r>
                <m:sSub>
                  <m:sSubPr>
                    <m:ctrlPr>
                      <w:rPr>
                        <w:rFonts w:ascii="Cambria Math" w:hAnsi="Cambria Math"/>
                      </w:rPr>
                    </m:ctrlPr>
                  </m:sSubPr>
                  <m:e>
                    <m:r>
                      <m:rPr>
                        <m:sty m:val="p"/>
                      </m:rPr>
                      <w:rPr>
                        <w:rFonts w:ascii="Cambria Math"/>
                      </w:rPr>
                      <m:t>r</m:t>
                    </m:r>
                  </m:e>
                  <m:sub>
                    <m:r>
                      <m:rPr>
                        <m:sty m:val="p"/>
                      </m:rPr>
                      <w:rPr>
                        <w:rFonts w:ascii="Cambria Math"/>
                      </w:rPr>
                      <m:t>us</m:t>
                    </m:r>
                  </m:sub>
                </m:sSub>
                <m:r>
                  <m:rPr>
                    <m:sty m:val="p"/>
                  </m:rPr>
                  <w:rPr>
                    <w:rFonts w:ascii="Cambria Math"/>
                  </w:rPr>
                  <m:t>≤</m:t>
                </m:r>
                <m:r>
                  <m:rPr>
                    <m:sty m:val="p"/>
                  </m:rPr>
                  <w:rPr>
                    <w:rFonts w:ascii="Cambria Math"/>
                  </w:rPr>
                  <m:t>1%</m:t>
                </m:r>
              </m:oMath>
            </m:oMathPara>
          </w:p>
        </w:tc>
        <w:tc>
          <w:tcPr>
            <w:tcW w:w="1621" w:type="dxa"/>
            <w:gridSpan w:val="2"/>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172D02">
            <w:pPr>
              <w:pStyle w:val="af0"/>
            </w:pPr>
            <m:oMathPara>
              <m:oMath>
                <m:r>
                  <m:rPr>
                    <m:sty m:val="p"/>
                  </m:rPr>
                  <w:rPr>
                    <w:rFonts w:ascii="Cambria Math"/>
                  </w:rPr>
                  <m:t>1%</m:t>
                </m:r>
                <m:r>
                  <w:rPr>
                    <w:rFonts w:ascii="Cambria Math"/>
                  </w:rPr>
                  <m:t>&lt;</m:t>
                </m:r>
                <m:sSub>
                  <m:sSubPr>
                    <m:ctrlPr>
                      <w:rPr>
                        <w:rFonts w:ascii="Cambria Math" w:hAnsi="Cambria Math"/>
                      </w:rPr>
                    </m:ctrlPr>
                  </m:sSubPr>
                  <m:e>
                    <m:r>
                      <m:rPr>
                        <m:sty m:val="p"/>
                      </m:rPr>
                      <w:rPr>
                        <w:rFonts w:ascii="Cambria Math"/>
                      </w:rPr>
                      <m:t>r</m:t>
                    </m:r>
                  </m:e>
                  <m:sub>
                    <m:r>
                      <m:rPr>
                        <m:sty m:val="p"/>
                      </m:rPr>
                      <w:rPr>
                        <w:rFonts w:ascii="Cambria Math"/>
                      </w:rPr>
                      <m:t>us</m:t>
                    </m:r>
                  </m:sub>
                </m:sSub>
                <m:r>
                  <m:rPr>
                    <m:sty m:val="p"/>
                  </m:rPr>
                  <w:rPr>
                    <w:rFonts w:ascii="Cambria Math"/>
                  </w:rPr>
                  <m:t>≤</m:t>
                </m:r>
                <m:r>
                  <m:rPr>
                    <m:sty m:val="p"/>
                  </m:rPr>
                  <w:rPr>
                    <w:rFonts w:ascii="Cambria Math"/>
                  </w:rPr>
                  <m:t>2%</m:t>
                </m:r>
              </m:oMath>
            </m:oMathPara>
          </w:p>
        </w:tc>
        <w:tc>
          <w:tcPr>
            <w:tcW w:w="1621" w:type="dxa"/>
            <w:gridSpan w:val="2"/>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4E4790">
            <w:pPr>
              <w:pStyle w:val="af0"/>
            </w:pPr>
            <m:oMathPara>
              <m:oMath>
                <m:sSub>
                  <m:sSubPr>
                    <m:ctrlPr>
                      <w:rPr>
                        <w:rFonts w:ascii="Cambria Math" w:hAnsi="Cambria Math"/>
                      </w:rPr>
                    </m:ctrlPr>
                  </m:sSubPr>
                  <m:e>
                    <m:r>
                      <m:rPr>
                        <m:sty m:val="p"/>
                      </m:rPr>
                      <w:rPr>
                        <w:rFonts w:ascii="Cambria Math"/>
                      </w:rPr>
                      <m:t>r</m:t>
                    </m:r>
                  </m:e>
                  <m:sub>
                    <m:r>
                      <m:rPr>
                        <m:sty m:val="p"/>
                      </m:rPr>
                      <w:rPr>
                        <w:rFonts w:ascii="Cambria Math"/>
                      </w:rPr>
                      <m:t>us</m:t>
                    </m:r>
                  </m:sub>
                </m:sSub>
                <m:r>
                  <m:rPr>
                    <m:sty m:val="p"/>
                  </m:rPr>
                  <w:rPr>
                    <w:rFonts w:ascii="Cambria Math"/>
                  </w:rPr>
                  <m:t>&gt;</m:t>
                </m:r>
                <m:r>
                  <w:rPr>
                    <w:rFonts w:ascii="Cambria Math"/>
                  </w:rPr>
                  <m:t>2%</m:t>
                </m:r>
              </m:oMath>
            </m:oMathPara>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proofErr w:type="spellStart"/>
            <w:r>
              <w:rPr>
                <w:rFonts w:hint="eastAsia"/>
              </w:rPr>
              <w:t>entire</w:t>
            </w:r>
            <w:r w:rsidR="00D35F5E">
              <w:lastRenderedPageBreak/>
              <w:t>period</w:t>
            </w:r>
            <w:proofErr w:type="spellEnd"/>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lastRenderedPageBreak/>
              <w:t>averag</w:t>
            </w:r>
            <w:r>
              <w:lastRenderedPageBreak/>
              <w:t>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lastRenderedPageBreak/>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w:t>
            </w:r>
            <w:r>
              <w:lastRenderedPageBreak/>
              <w:t>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lastRenderedPageBreak/>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w:t>
            </w:r>
            <w:r>
              <w:lastRenderedPageBreak/>
              <w:t>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lastRenderedPageBreak/>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w:t>
            </w:r>
            <w:r>
              <w:lastRenderedPageBreak/>
              <w:t>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lastRenderedPageBreak/>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w:t>
            </w:r>
            <w:r>
              <w:lastRenderedPageBreak/>
              <w:t>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lastRenderedPageBreak/>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3.0513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3.7789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4.6484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8.62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8.9076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8.0867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7.3594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8.8390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9.8102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9.47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6.0253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5.9510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6.1587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6.4290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6.5501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4.9665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5.0944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5.3096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5.3416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5.1820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4.5896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4.5625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4.6640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4.5770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4.5616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3.9784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4.1258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4.2509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4.2021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3.9918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3.6724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3.7764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3.9543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4.0112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3.6464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3.5491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3.6877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3.6326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3.3993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3.5088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3.5294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3.4960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3.3006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3.3728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3.3927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3.2588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3.4772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3.1828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3.1958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3.0036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2.8729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2.9815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2.9505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2.7204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2.6309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2.6196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2.1803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2.5826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2.4966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2.3456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2.2412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2.0903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2.3082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2.3398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2.3751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2.3452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2.4289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2.12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2.6801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2.6803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2.6171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2.5952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2.4299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2.8386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2.8867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2.7370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3.4046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3.0526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3.1197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2.9496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3.0720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3.4860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3.4088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3.4555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3.3990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3.4845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3.5198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3.5981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3.6446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3.5615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3.4125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3.7808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3.8874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3.8316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4.1445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3.19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4.2582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4.3307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4.2367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4.1222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4.0227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4.9447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4.9243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4.7827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4.3687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6.1880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6.1225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6.0532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5.7226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5.4866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1.9214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2.2864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2.1147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1.9429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1.6791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0.52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4.1763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4.0750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3.7703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3.6220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2.43</w:t>
            </w:r>
          </w:p>
        </w:tc>
      </w:tr>
      <w:tr w:rsidR="00A44840">
        <w:trPr>
          <w:trHeight w:val="330"/>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161</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315</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1,973</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304</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138</w:t>
            </w:r>
          </w:p>
        </w:tc>
        <w:tc>
          <w:tcPr>
            <w:tcW w:w="810"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A44840">
            <w:pPr>
              <w:pStyle w:val="af0"/>
            </w:pPr>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pre-</w:t>
            </w:r>
            <w:r>
              <w:t xml:space="preserve"> </w:t>
            </w:r>
            <w:r w:rsidR="00D35F5E">
              <w:t>crisis</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3.3750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3.3728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4.6427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6.1943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14.81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10.4808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8.6435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7.4180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9.3179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9.5954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16.34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6.4953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6.2891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6.3855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6.7347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6.4242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2.09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5.0361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5.2595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5.4914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5.5242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5.1103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4.9626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4.7354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4.7395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4.6971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4.3337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4.2271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4.2398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4.3448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4.4039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3.8757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3.8603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3.7476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4.0249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4.2551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3.4724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3.4069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3.5153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3.8367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4.0256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3.3354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3.4984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3.5297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3.4788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3.1634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3.5112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3.3995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3.1661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3.9721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3.59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3.2731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3.5048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3.3375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3.0912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2.8321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2.9070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3.0509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2.9926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2.8109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2.6939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2.6703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1.9079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2.5381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2.05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2.4907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2.2282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1.6851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2.2558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2.0029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2.2489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2.3823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2.4288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2.8934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3.60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2.7587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2.7471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2.6392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2.7789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2.5937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2.00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2.8805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2.9191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2.8954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2.8046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3.6885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3.0620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2.8843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3.2127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3.4044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3.6322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3.5456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3.5385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3.0998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3.4803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3.7671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3.7332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3.6737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4.7259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5.37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4.0800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4.2624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4.1172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3.9698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4.0879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4.7609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4.7692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4.7563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4.0403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5.9982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5.7846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5.8383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5.3282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5.1820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2.1067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2.5258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2.2811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1.7781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1.7447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1.5985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1.90</w:t>
            </w:r>
          </w:p>
        </w:tc>
      </w:tr>
      <w:tr w:rsidR="00A44840">
        <w:trPr>
          <w:trHeight w:val="330"/>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52</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177</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1,199</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152</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46</w:t>
            </w:r>
          </w:p>
        </w:tc>
        <w:tc>
          <w:tcPr>
            <w:tcW w:w="810"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A44840">
            <w:pPr>
              <w:pStyle w:val="af0"/>
            </w:pPr>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post-</w:t>
            </w:r>
            <w:r>
              <w:t xml:space="preserve"> </w:t>
            </w:r>
            <w:r w:rsidR="00D35F5E">
              <w:t>crisis</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2.6390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2.4408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3.2723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3.8754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8.1571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7.3725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7.2685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8.3601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9.9176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5.8011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5.5174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5.8074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6.1232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6.6131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4.9333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4.8826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5.0279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5.1590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5.2178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4.3407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4.5471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4.4570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4.6755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3.9795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4.0002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4.0499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3.5827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3.7674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3.7334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3.5926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3.6849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3.5386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3.4361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3.5222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3.5289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3.3692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3.3822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3.2297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3.1398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3.2439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3.0893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2.8566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2.9380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2.6751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2.5546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2.4759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0.59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2.2763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2.2955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2.2265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2.1340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0.50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2.3640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2.1967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0.43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2.5947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2.5829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2.3480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0.48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2.9110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2.7847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2.8364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2.7032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3.2692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3.0698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3.0016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3.5631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3.5027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3.4550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3.4106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3.6922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3.6653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3.8090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3.6989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3.5688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3.9242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4.1904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3.9895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3.8538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4.3431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4.4183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4.4218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4.2745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3.9901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5.1803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5.1645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4.8091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4.5329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6.2785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6.5559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6.3859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6.1171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5.6389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1.9793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1.6296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0.36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5.3364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5.6181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5.0718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4.9365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4.6337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2.00</w:t>
            </w:r>
          </w:p>
        </w:tc>
      </w:tr>
      <w:tr w:rsidR="00A44840">
        <w:trPr>
          <w:trHeight w:val="345"/>
        </w:trPr>
        <w:tc>
          <w:tcPr>
            <w:tcW w:w="737"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109</w:t>
            </w: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774</w:t>
            </w: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w:t>
            </w: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92</w:t>
            </w:r>
          </w:p>
        </w:tc>
        <w:tc>
          <w:tcPr>
            <w:tcW w:w="810" w:type="dxa"/>
            <w:tcBorders>
              <w:top w:val="single" w:sz="3" w:space="0" w:color="000000"/>
              <w:left w:val="none" w:sz="0" w:space="0" w:color="000000"/>
              <w:bottom w:val="none" w:sz="0" w:space="0" w:color="000000"/>
              <w:right w:val="none" w:sz="0" w:space="0" w:color="000000"/>
              <w:tl2br w:val="nil"/>
              <w:tr2bl w:val="nil"/>
            </w:tcBorders>
            <w:vAlign w:val="center"/>
          </w:tcPr>
          <w:p w:rsidR="00A44840" w:rsidRDefault="00A44840">
            <w:pPr>
              <w:pStyle w:val="af0"/>
            </w:pPr>
          </w:p>
        </w:tc>
      </w:tr>
      <w:tr w:rsidR="00A44840">
        <w:trPr>
          <w:trHeight w:val="345"/>
        </w:trPr>
        <w:tc>
          <w:tcPr>
            <w:tcW w:w="737"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rPr>
                <w:b/>
                <w:bCs/>
              </w:rPr>
            </w:pPr>
            <w:r>
              <w:rPr>
                <w:b/>
                <w:bCs/>
              </w:rPr>
              <w:t>futures</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below -2%</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-2%~-1%</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-1%~1%</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1%~2%</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 xml:space="preserve">　</w:t>
            </w:r>
          </w:p>
        </w:tc>
        <w:tc>
          <w:tcPr>
            <w:tcW w:w="810" w:type="dxa"/>
            <w:tcBorders>
              <w:top w:val="double" w:sz="15"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above2%</w:t>
            </w:r>
          </w:p>
        </w:tc>
        <w:tc>
          <w:tcPr>
            <w:tcW w:w="810" w:type="dxa"/>
            <w:tcBorders>
              <w:top w:val="double" w:sz="15"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 xml:space="preserve">　</w:t>
            </w:r>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entire</w:t>
            </w:r>
            <w:r>
              <w:t xml:space="preserve"> </w:t>
            </w:r>
            <w:r w:rsidR="00D35F5E">
              <w:t>period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2.3764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2.1770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2.0788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2.4605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2.8970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8.2901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8.3454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8.4173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8.4689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8.7920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5.5999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5.9218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6.1749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5.9925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6.1033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1.88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4.7897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5.1227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5.1804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5.0356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5.1045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4.4944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4.7099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4.6551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4.5498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4.5129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4.2301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4.2354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4.3305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4.2026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3.9984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3.9027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3.9405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3.7095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3.6228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3.6764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3.7264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3.7268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3.6577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3.4916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3.5837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3.4966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3.2558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3.2357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3.3023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3.2950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3.1833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3.0837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2.9828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2.9183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2.7543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2.8659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2.5826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2.5451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2.4860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2.4737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2.5086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2.3714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2.3630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2.3573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2.7629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2.5414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2.4742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2.5471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3.0769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2.9548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3.0024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3.0062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3.1362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3.0587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3.1458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2.9709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2.9554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3.3037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3.1943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3.1754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3.2270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3.4192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3.1847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3.2926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3.5613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3.4442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3.4004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3.4483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3.5307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3.5842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3.6410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3.7211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3.7809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3.7367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4.1555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4.0530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4.1367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4.0265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4.3224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4.2521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4.1126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4.6286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4.6489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4.5559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4.6317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4.5977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1.5656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3.1468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3.5998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2.08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1.7262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2.3379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2.1268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1.9438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1.6459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1.95</w:t>
            </w:r>
          </w:p>
        </w:tc>
      </w:tr>
      <w:tr w:rsidR="00A44840">
        <w:trPr>
          <w:trHeight w:val="330"/>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159</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311</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1,943</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298</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137</w:t>
            </w:r>
          </w:p>
        </w:tc>
        <w:tc>
          <w:tcPr>
            <w:tcW w:w="810"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A44840">
            <w:pPr>
              <w:pStyle w:val="af0"/>
            </w:pPr>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pre-</w:t>
            </w:r>
            <w:r w:rsidR="00D35F5E">
              <w:t>crisis</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1.8754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1.8820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2.0438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1.9635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7.8058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8.2500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8.3405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8.2628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8.6646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5.4611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6.0301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6.4174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6.2124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5.9042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4.7605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5.2879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5.4094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5.1470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5.3406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4.7822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4.7611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4.7264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4.5158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4.5913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4.1745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4.3984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4.3482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4.2373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3.9702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3.6919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3.5870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3.6922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3.8028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3.4652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3.8793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3.5747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3.4864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3.5416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3.6727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3.1795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3.2087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3.0268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2.9898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3.0440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2.6280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2.7748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2.6057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2.3212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2.3580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2.5063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2.1455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2.2453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2.2693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2.1092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2.4653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2.3296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2.3414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2.2536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2.5697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1.33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2.8264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2.9073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2.8199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2.8037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3.1035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2.8645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2.8927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3.5920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3.2569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3.3105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3.2594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3.1075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3.2929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3.2351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3.3516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3.8042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3.6881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3.5751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3.5504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3.7103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3.7189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3.8090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3.7396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3.9869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4.1099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4.4179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4.4598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4.1452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4.3827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4.4278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4.5224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4.3210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4.3150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4.2110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5.1046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4.8598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4.5978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4.6597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1.08</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1.5256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1.6041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0.61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2.8356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3.2837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3.3626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3.0870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1.7628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1.9655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1.9297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1.9979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1.8373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0.54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15:15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2.0965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2.2808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2.0770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2.4071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1.9828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0.86</w:t>
            </w:r>
          </w:p>
        </w:tc>
      </w:tr>
      <w:tr w:rsidR="00A44840">
        <w:trPr>
          <w:trHeight w:val="330"/>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50</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173</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1,169</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146</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45</w:t>
            </w:r>
          </w:p>
        </w:tc>
        <w:tc>
          <w:tcPr>
            <w:tcW w:w="810"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A44840">
            <w:pPr>
              <w:pStyle w:val="af0"/>
            </w:pPr>
          </w:p>
        </w:tc>
      </w:tr>
      <w:tr w:rsidR="00A44840">
        <w:trPr>
          <w:trHeight w:val="330"/>
        </w:trPr>
        <w:tc>
          <w:tcPr>
            <w:tcW w:w="737"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F53020">
            <w:pPr>
              <w:pStyle w:val="af0"/>
            </w:pPr>
            <w:r>
              <w:rPr>
                <w:rFonts w:hint="eastAsia"/>
              </w:rPr>
              <w:t>post-</w:t>
            </w:r>
            <w:r w:rsidR="00D35F5E">
              <w:t>crisis</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S.D.</w:t>
            </w:r>
          </w:p>
        </w:tc>
        <w:tc>
          <w:tcPr>
            <w:tcW w:w="810" w:type="dxa"/>
            <w:tcBorders>
              <w:top w:val="none" w:sz="0"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average</w:t>
            </w:r>
          </w:p>
        </w:tc>
        <w:tc>
          <w:tcPr>
            <w:tcW w:w="810" w:type="dxa"/>
            <w:tcBorders>
              <w:top w:val="none" w:sz="0" w:space="0" w:color="000000"/>
              <w:left w:val="none" w:sz="0" w:space="0" w:color="000000"/>
              <w:bottom w:val="single" w:sz="3" w:space="0" w:color="000000"/>
              <w:right w:val="none" w:sz="0" w:space="0" w:color="000000"/>
              <w:tl2br w:val="nil"/>
              <w:tr2bl w:val="nil"/>
            </w:tcBorders>
            <w:vAlign w:val="center"/>
          </w:tcPr>
          <w:p w:rsidR="00A44840" w:rsidRDefault="00D35F5E">
            <w:pPr>
              <w:pStyle w:val="af0"/>
            </w:pPr>
            <w:r>
              <w:t>S.D.</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2.6061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2.5469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2.6164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2.8609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3.3536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2.87</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8.5123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8.4651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8.5334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2.74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8.6668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8.8543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2.56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5.6635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5.7861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5.8086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5.7813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6.2007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2.11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9:45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4.8031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4.8345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4.9285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4.9890</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2.11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4.3623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4.6457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4.5475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4.5801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4.5115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1.64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4.0645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4.2279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4.0628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3.8815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3.7695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4.0465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4.1246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4.0566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3.7181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3.6393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4.0948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3.9950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3.8791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3.6517</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3.7966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3.9429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3.7577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3.5587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3.6043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3.5095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3.4738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3.4233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3.3481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3.1505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3.3796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3.1037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3.1739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2.9529</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2.8745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3.0551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2.9533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2.5713</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2.6925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2.6485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2.8012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2.5098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0.94</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2.6458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2.5211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2.5620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2.4530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2.4786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2.8995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2.8069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2.6747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2.6577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2.5361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0.75</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3.1918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3.0969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2.9618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3.0974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1.11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3.2887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3.0026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3.1327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3.0731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2.9861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1.03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3.1715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2.9712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3.0455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3.2854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3.4772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3.1215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3.2036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3.3861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3.4425</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1.41</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3.3323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3.1814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1.10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3.2942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3.1641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3.4386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3.4608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3.4304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3.6931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3.5830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3.5542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1.50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lastRenderedPageBreak/>
              <w:t>14:15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3.9600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3.7740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3.9136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4.1630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3.8522</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1.26</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14:30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4.2741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4.0491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1.29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4.1479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4.1091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4.0644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1.40</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4.4102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4.3845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4.4927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4.5758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4.5674</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1.93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1.4842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0.49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1.4409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1.6056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1.5468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0.72</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3.2895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3.3263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3.4615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1.81</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3.4622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1.69</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3.8506</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2.43</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1.3643</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0.80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1.5056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1.5504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0.98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1.5350</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0.75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1.6718</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1.79</w:t>
            </w:r>
          </w:p>
        </w:tc>
      </w:tr>
      <w:tr w:rsidR="00A44840">
        <w:trPr>
          <w:trHeight w:val="330"/>
        </w:trPr>
        <w:tc>
          <w:tcPr>
            <w:tcW w:w="737"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15:15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2.4486</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7.44</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1.9337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6.35</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1.7118</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3.32</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1.4987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1.77</w:t>
            </w:r>
          </w:p>
        </w:tc>
        <w:tc>
          <w:tcPr>
            <w:tcW w:w="810" w:type="dxa"/>
            <w:tcBorders>
              <w:top w:val="none" w:sz="0" w:space="0" w:color="000000"/>
              <w:left w:val="none" w:sz="0" w:space="0" w:color="000000"/>
              <w:bottom w:val="none" w:sz="0" w:space="0" w:color="000000"/>
              <w:right w:val="single" w:sz="3" w:space="0" w:color="000000"/>
              <w:tl2br w:val="nil"/>
              <w:tr2bl w:val="nil"/>
            </w:tcBorders>
            <w:vAlign w:val="center"/>
          </w:tcPr>
          <w:p w:rsidR="00A44840" w:rsidRDefault="00D35F5E">
            <w:pPr>
              <w:pStyle w:val="af0"/>
            </w:pPr>
            <w:r>
              <w:t>1.4811</w:t>
            </w:r>
          </w:p>
        </w:tc>
        <w:tc>
          <w:tcPr>
            <w:tcW w:w="810" w:type="dxa"/>
            <w:tcBorders>
              <w:top w:val="none" w:sz="0" w:space="0" w:color="000000"/>
              <w:left w:val="none" w:sz="0" w:space="0" w:color="000000"/>
              <w:bottom w:val="none" w:sz="0" w:space="0" w:color="000000"/>
              <w:right w:val="none" w:sz="0" w:space="0" w:color="000000"/>
              <w:tl2br w:val="nil"/>
              <w:tr2bl w:val="nil"/>
            </w:tcBorders>
            <w:vAlign w:val="center"/>
          </w:tcPr>
          <w:p w:rsidR="00A44840" w:rsidRDefault="00D35F5E">
            <w:pPr>
              <w:pStyle w:val="af0"/>
            </w:pPr>
            <w:r>
              <w:t>2.29</w:t>
            </w:r>
          </w:p>
        </w:tc>
      </w:tr>
      <w:tr w:rsidR="00A44840">
        <w:trPr>
          <w:trHeight w:val="330"/>
        </w:trPr>
        <w:tc>
          <w:tcPr>
            <w:tcW w:w="737"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N</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109</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138</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774</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152</w:t>
            </w: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A44840">
            <w:pPr>
              <w:pStyle w:val="af0"/>
            </w:pPr>
          </w:p>
        </w:tc>
        <w:tc>
          <w:tcPr>
            <w:tcW w:w="810" w:type="dxa"/>
            <w:tcBorders>
              <w:top w:val="single" w:sz="3" w:space="0" w:color="000000"/>
              <w:left w:val="none" w:sz="0" w:space="0" w:color="000000"/>
              <w:bottom w:val="single" w:sz="3" w:space="0" w:color="000000"/>
              <w:right w:val="single" w:sz="3" w:space="0" w:color="000000"/>
              <w:tl2br w:val="nil"/>
              <w:tr2bl w:val="nil"/>
            </w:tcBorders>
            <w:vAlign w:val="center"/>
          </w:tcPr>
          <w:p w:rsidR="00A44840" w:rsidRDefault="00D35F5E">
            <w:pPr>
              <w:pStyle w:val="af0"/>
            </w:pPr>
            <w:r>
              <w:t>92</w:t>
            </w:r>
          </w:p>
        </w:tc>
        <w:tc>
          <w:tcPr>
            <w:tcW w:w="810" w:type="dxa"/>
            <w:tcBorders>
              <w:top w:val="single" w:sz="3" w:space="0" w:color="000000"/>
              <w:left w:val="none" w:sz="0" w:space="0" w:color="000000"/>
              <w:bottom w:val="single" w:sz="3" w:space="0" w:color="000000"/>
              <w:right w:val="none" w:sz="0" w:space="0" w:color="000000"/>
              <w:tl2br w:val="nil"/>
              <w:tr2bl w:val="nil"/>
            </w:tcBorders>
            <w:vAlign w:val="center"/>
          </w:tcPr>
          <w:p w:rsidR="00A44840" w:rsidRDefault="00A44840">
            <w:pPr>
              <w:pStyle w:val="af0"/>
            </w:pPr>
          </w:p>
        </w:tc>
      </w:tr>
    </w:tbl>
    <w:p w:rsidR="00A44840" w:rsidRDefault="00A44840">
      <w:pPr>
        <w:rPr>
          <w:sz w:val="2"/>
        </w:rPr>
      </w:pPr>
    </w:p>
    <w:sectPr w:rsidR="00A44840" w:rsidSect="00104F4F">
      <w:headerReference w:type="default" r:id="rId17"/>
      <w:footerReference w:type="default" r:id="rId18"/>
      <w:endnotePr>
        <w:numFmt w:val="decimal"/>
      </w:endnotePr>
      <w:pgSz w:w="11905" w:h="16837"/>
      <w:pgMar w:top="2550" w:right="1133" w:bottom="1700" w:left="1133" w:header="1700"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790" w:rsidRDefault="004E4790">
      <w:r>
        <w:separator/>
      </w:r>
    </w:p>
  </w:endnote>
  <w:endnote w:type="continuationSeparator" w:id="0">
    <w:p w:rsidR="004E4790" w:rsidRDefault="004E4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Unicode MS">
    <w:panose1 w:val="020B0604020202020204"/>
    <w:charset w:val="81"/>
    <w:family w:val="modern"/>
    <w:pitch w:val="variable"/>
    <w:sig w:usb0="F7FFAFFF" w:usb1="E9DFFFFF" w:usb2="0000003F" w:usb3="00000000" w:csb0="003F01FF" w:csb1="00000000"/>
  </w:font>
  <w:font w:name="Times New Roman">
    <w:panose1 w:val="02020603050405020304"/>
    <w:charset w:val="00"/>
    <w:family w:val="roman"/>
    <w:pitch w:val="variable"/>
    <w:sig w:usb0="20002A87" w:usb1="80000000" w:usb2="00000008" w:usb3="00000000" w:csb0="000001FF" w:csb1="00000000"/>
  </w:font>
  <w:font w:name="맑은 고딕">
    <w:panose1 w:val="020B0503020000020004"/>
    <w:charset w:val="81"/>
    <w:family w:val="modern"/>
    <w:pitch w:val="variable"/>
    <w:sig w:usb0="900002AF" w:usb1="09D77CFB" w:usb2="00000012" w:usb3="00000000" w:csb0="00080001" w:csb1="00000000"/>
  </w:font>
  <w:font w:name="HY신명조">
    <w:altName w:val="Arial Unicode MS"/>
    <w:panose1 w:val="02030600000101010101"/>
    <w:charset w:val="81"/>
    <w:family w:val="roman"/>
    <w:pitch w:val="variable"/>
    <w:sig w:usb0="900002A7" w:usb1="29D77CF9" w:usb2="00000010" w:usb3="00000000" w:csb0="00080000" w:csb1="00000000"/>
  </w:font>
  <w:font w:name="휴먼고딕">
    <w:altName w:val="Arial Unicode MS"/>
    <w:panose1 w:val="02010504000101010101"/>
    <w:charset w:val="81"/>
    <w:family w:val="auto"/>
    <w:pitch w:val="variable"/>
    <w:sig w:usb0="800002A7" w:usb1="19D77CFB" w:usb2="00000010" w:usb3="00000000" w:csb0="00080000" w:csb1="00000000"/>
  </w:font>
  <w:font w:name="HY중고딕">
    <w:altName w:val="Arial Unicode MS"/>
    <w:panose1 w:val="02030600000101010101"/>
    <w:charset w:val="81"/>
    <w:family w:val="roman"/>
    <w:pitch w:val="variable"/>
    <w:sig w:usb0="900002A7" w:usb1="29D77CF9" w:usb2="00000010" w:usb3="00000000" w:csb0="00080000" w:csb1="00000000"/>
  </w:font>
  <w:font w:name="바탕체">
    <w:panose1 w:val="02030609000101010101"/>
    <w:charset w:val="81"/>
    <w:family w:val="roman"/>
    <w:pitch w:val="fixed"/>
    <w:sig w:usb0="B00002AF" w:usb1="69D77CFB" w:usb2="00000030" w:usb3="00000000" w:csb0="0008009F" w:csb1="00000000"/>
  </w:font>
  <w:font w:name="필기">
    <w:altName w:val="바탕"/>
    <w:panose1 w:val="00000000000000000000"/>
    <w:charset w:val="81"/>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 w:name="궁서">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auto"/>
      </w:rPr>
      <w:id w:val="1877814311"/>
    </w:sdtPr>
    <w:sdtEndPr/>
    <w:sdtContent>
      <w:p w:rsidR="006B03CF" w:rsidRDefault="006B03CF">
        <w:pPr>
          <w:pStyle w:val="af3"/>
          <w:jc w:val="center"/>
        </w:pPr>
        <w:r>
          <w:t>-</w:t>
        </w:r>
        <w:r>
          <w:fldChar w:fldCharType="begin"/>
        </w:r>
        <w:r>
          <w:instrText>PAGE \* MERGEFORMAT</w:instrText>
        </w:r>
        <w:r>
          <w:fldChar w:fldCharType="separate"/>
        </w:r>
        <w:r w:rsidR="008B2726">
          <w:rPr>
            <w:noProof/>
          </w:rPr>
          <w:t>40</w:t>
        </w:r>
        <w:r>
          <w:fldChar w:fldCharType="end"/>
        </w:r>
        <w: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790" w:rsidRDefault="004E4790">
      <w:r>
        <w:separator/>
      </w:r>
    </w:p>
  </w:footnote>
  <w:footnote w:type="continuationSeparator" w:id="0">
    <w:p w:rsidR="004E4790" w:rsidRDefault="004E4790">
      <w:r>
        <w:continuationSeparator/>
      </w:r>
    </w:p>
  </w:footnote>
  <w:footnote w:id="1">
    <w:p w:rsidR="006B03CF" w:rsidRDefault="006B03CF">
      <w:pPr>
        <w:pStyle w:val="a8"/>
      </w:pPr>
      <w:r>
        <w:rPr>
          <w:rStyle w:val="a6"/>
        </w:rPr>
        <w:footnoteRef/>
      </w:r>
      <w:r>
        <w:t xml:space="preserve"> </w:t>
      </w:r>
      <w:r>
        <w:rPr>
          <w:rFonts w:hint="eastAsia"/>
        </w:rPr>
        <w:t>The e</w:t>
      </w:r>
      <w:r>
        <w:t xml:space="preserve">ndogenous variable problem blurs the impact of independent variable on the dependent variable, as the impacted dependent variable has </w:t>
      </w:r>
      <w:r>
        <w:rPr>
          <w:rFonts w:hint="eastAsia"/>
        </w:rPr>
        <w:t xml:space="preserve">a </w:t>
      </w:r>
      <w:r>
        <w:t>reciprocal impact</w:t>
      </w:r>
      <w:r>
        <w:rPr>
          <w:rFonts w:hint="eastAsia"/>
        </w:rPr>
        <w:t xml:space="preserve"> on</w:t>
      </w:r>
      <w:r>
        <w:t xml:space="preserve"> the independent variable. In the above case, we can avoid </w:t>
      </w:r>
      <w:r>
        <w:rPr>
          <w:rFonts w:hint="eastAsia"/>
        </w:rPr>
        <w:t xml:space="preserve">the </w:t>
      </w:r>
      <w:r>
        <w:t>endogenous variable problem</w:t>
      </w:r>
      <w:r>
        <w:rPr>
          <w:rFonts w:hint="eastAsia"/>
        </w:rPr>
        <w:t>,</w:t>
      </w:r>
      <w:r>
        <w:t xml:space="preserve"> as the impacted Korean market on </w:t>
      </w:r>
      <w:r>
        <w:rPr>
          <w:rFonts w:hint="eastAsia"/>
        </w:rPr>
        <w:t xml:space="preserve">the </w:t>
      </w:r>
      <w:r>
        <w:t xml:space="preserve">date has no impact </w:t>
      </w:r>
      <w:proofErr w:type="gramStart"/>
      <w:r>
        <w:rPr>
          <w:rFonts w:hint="eastAsia"/>
        </w:rPr>
        <w:t xml:space="preserve">in </w:t>
      </w:r>
      <w:r>
        <w:t xml:space="preserve"> U</w:t>
      </w:r>
      <w:r>
        <w:rPr>
          <w:rFonts w:hint="eastAsia"/>
        </w:rPr>
        <w:t>.</w:t>
      </w:r>
      <w:r>
        <w:t>S</w:t>
      </w:r>
      <w:proofErr w:type="gramEnd"/>
      <w:r>
        <w:rPr>
          <w:rFonts w:hint="eastAsia"/>
        </w:rPr>
        <w:t>.</w:t>
      </w:r>
      <w:r>
        <w:t xml:space="preserve"> market performance on date t-1. </w:t>
      </w:r>
    </w:p>
  </w:footnote>
  <w:footnote w:id="2">
    <w:p w:rsidR="006B03CF" w:rsidRDefault="006B03CF">
      <w:pPr>
        <w:pStyle w:val="ad"/>
      </w:pPr>
      <w:r>
        <w:rPr>
          <w:rStyle w:val="a6"/>
        </w:rPr>
        <w:footnoteRef/>
      </w:r>
      <w:r>
        <w:t xml:space="preserve"> KRX started trading KOSPI 200 futures in CME </w:t>
      </w:r>
      <w:proofErr w:type="spellStart"/>
      <w:r>
        <w:t>Globex</w:t>
      </w:r>
      <w:proofErr w:type="spellEnd"/>
      <w:r>
        <w:t xml:space="preserve"> on November 16, 2009. This study did not consider the opening of </w:t>
      </w:r>
      <w:r>
        <w:rPr>
          <w:rFonts w:hint="eastAsia"/>
        </w:rPr>
        <w:t xml:space="preserve">the </w:t>
      </w:r>
      <w:r>
        <w:t>night market due to problems</w:t>
      </w:r>
      <w:r>
        <w:rPr>
          <w:rFonts w:hint="eastAsia"/>
        </w:rPr>
        <w:t xml:space="preserve">, such as the </w:t>
      </w:r>
      <w:r>
        <w:t>small sample size. For information on spillover effects between day and night KOSPI 200 futures markets, please refer to Lee (2012)</w:t>
      </w:r>
      <w:r>
        <w:rPr>
          <w:rFonts w:hint="eastAsia"/>
        </w:rPr>
        <w:t>.</w:t>
      </w:r>
      <w:r>
        <w:t xml:space="preserve">  </w:t>
      </w:r>
    </w:p>
  </w:footnote>
  <w:footnote w:id="3">
    <w:p w:rsidR="006B03CF" w:rsidRDefault="006B03CF">
      <w:pPr>
        <w:pStyle w:val="ad"/>
      </w:pPr>
      <w:r>
        <w:rPr>
          <w:rStyle w:val="a6"/>
        </w:rPr>
        <w:footnoteRef/>
      </w:r>
      <w:r>
        <w:t xml:space="preserve"> We downloaded the trading volume from</w:t>
      </w:r>
      <w:r>
        <w:rPr>
          <w:rFonts w:hint="eastAsia"/>
        </w:rPr>
        <w:t xml:space="preserve"> the</w:t>
      </w:r>
      <w:r>
        <w:t xml:space="preserve"> KRX home page. The trading volume is the aggregate trading volume for all the stocks traded in</w:t>
      </w:r>
      <w:r>
        <w:rPr>
          <w:rFonts w:hint="eastAsia"/>
        </w:rPr>
        <w:t xml:space="preserve"> the</w:t>
      </w:r>
      <w:r>
        <w:t xml:space="preserve"> KRX</w:t>
      </w:r>
      <w:r>
        <w:rPr>
          <w:rFonts w:hint="eastAsia"/>
        </w:rPr>
        <w:t>;</w:t>
      </w:r>
      <w:r>
        <w:t xml:space="preserve"> </w:t>
      </w:r>
      <w:r>
        <w:rPr>
          <w:rFonts w:hint="eastAsia"/>
        </w:rPr>
        <w:t xml:space="preserve">hence, </w:t>
      </w:r>
      <w:r>
        <w:t>it is not exactly the aggregate of the stocks that are included in the KOSPI 200 index. However</w:t>
      </w:r>
      <w:r>
        <w:rPr>
          <w:rFonts w:hint="eastAsia"/>
        </w:rPr>
        <w:t>,</w:t>
      </w:r>
      <w:r>
        <w:t xml:space="preserve"> we decided to use the aggregate trading volume as the proxy for the KOSPI</w:t>
      </w:r>
      <w:r>
        <w:rPr>
          <w:rFonts w:hint="eastAsia"/>
        </w:rPr>
        <w:t xml:space="preserve"> </w:t>
      </w:r>
      <w:r>
        <w:t xml:space="preserve">200 trading volume assuming high correlation between the two.  Futures trading volume data are restricted to the nearest maturity only. Considering that most futures trading </w:t>
      </w:r>
      <w:proofErr w:type="gramStart"/>
      <w:r>
        <w:t>is</w:t>
      </w:r>
      <w:proofErr w:type="gramEnd"/>
      <w:r>
        <w:t xml:space="preserve"> biased to the nearest maturity, we decided to use the nearest maturity trading volume as the proxy for the futures trading volume in the Korean futures market. </w:t>
      </w:r>
    </w:p>
  </w:footnote>
  <w:footnote w:id="4">
    <w:p w:rsidR="006B03CF" w:rsidRDefault="006B03CF">
      <w:pPr>
        <w:pStyle w:val="ad"/>
      </w:pPr>
      <w:r>
        <w:rPr>
          <w:rStyle w:val="a6"/>
        </w:rPr>
        <w:footnoteRef/>
      </w:r>
      <w:r>
        <w:t xml:space="preserve"> KRX opens at 10:00 on special occasions</w:t>
      </w:r>
      <w:r>
        <w:rPr>
          <w:rFonts w:hint="eastAsia"/>
        </w:rPr>
        <w:t>,</w:t>
      </w:r>
      <w:r>
        <w:t xml:space="preserve"> </w:t>
      </w:r>
      <w:r>
        <w:rPr>
          <w:rFonts w:hint="eastAsia"/>
        </w:rPr>
        <w:t>such as</w:t>
      </w:r>
      <w:r>
        <w:t xml:space="preserve"> New </w:t>
      </w:r>
      <w:r>
        <w:rPr>
          <w:rFonts w:hint="eastAsia"/>
        </w:rPr>
        <w:t>Y</w:t>
      </w:r>
      <w:r>
        <w:t>ear</w:t>
      </w:r>
      <w:r>
        <w:t>’</w:t>
      </w:r>
      <w:r>
        <w:t xml:space="preserve">s </w:t>
      </w:r>
      <w:r>
        <w:rPr>
          <w:rFonts w:hint="eastAsia"/>
        </w:rPr>
        <w:t>D</w:t>
      </w:r>
      <w:r>
        <w:t>ay</w:t>
      </w:r>
      <w:r>
        <w:rPr>
          <w:rFonts w:hint="eastAsia"/>
        </w:rPr>
        <w:t xml:space="preserve"> and</w:t>
      </w:r>
      <w:r>
        <w:t xml:space="preserve"> National college scholastic ability test day. In this case</w:t>
      </w:r>
      <w:r>
        <w:rPr>
          <w:rFonts w:hint="eastAsia"/>
        </w:rPr>
        <w:t>,</w:t>
      </w:r>
      <w:r>
        <w:t xml:space="preserve"> we treat </w:t>
      </w:r>
      <w:r>
        <w:rPr>
          <w:rFonts w:hint="eastAsia"/>
        </w:rPr>
        <w:t xml:space="preserve">the </w:t>
      </w:r>
      <w:r>
        <w:t xml:space="preserve">10:00 price as </w:t>
      </w:r>
      <w:r>
        <w:rPr>
          <w:rFonts w:hint="eastAsia"/>
        </w:rPr>
        <w:t xml:space="preserve">the </w:t>
      </w:r>
      <w:r>
        <w:t xml:space="preserve">9:00 price. </w:t>
      </w:r>
      <w:r>
        <w:rPr>
          <w:rFonts w:hint="eastAsia"/>
        </w:rPr>
        <w:t>Further, we</w:t>
      </w:r>
      <w:r>
        <w:t xml:space="preserve"> use the price at 11:45 as the price between 12:00 and 12:45. </w:t>
      </w:r>
    </w:p>
  </w:footnote>
  <w:footnote w:id="5">
    <w:p w:rsidR="006B03CF" w:rsidRDefault="006B03CF">
      <w:pPr>
        <w:pStyle w:val="ad"/>
      </w:pPr>
      <w:r>
        <w:rPr>
          <w:rStyle w:val="a6"/>
        </w:rPr>
        <w:footnoteRef/>
      </w:r>
      <w:r>
        <w:t xml:space="preserve"> In the original one</w:t>
      </w:r>
      <w:r>
        <w:rPr>
          <w:rFonts w:hint="eastAsia"/>
        </w:rPr>
        <w:t>-</w:t>
      </w:r>
      <w:r>
        <w:t>minute interval index</w:t>
      </w:r>
      <w:r>
        <w:rPr>
          <w:rFonts w:hint="eastAsia"/>
        </w:rPr>
        <w:t xml:space="preserve"> </w:t>
      </w:r>
      <w:r>
        <w:t>futures price</w:t>
      </w:r>
      <w:r>
        <w:rPr>
          <w:rFonts w:hint="eastAsia"/>
        </w:rPr>
        <w:t>, the</w:t>
      </w:r>
      <w:r>
        <w:t xml:space="preserve"> 9:00 opening price is recorded as </w:t>
      </w:r>
      <w:r>
        <w:rPr>
          <w:rFonts w:hint="eastAsia"/>
        </w:rPr>
        <w:t xml:space="preserve">the </w:t>
      </w:r>
      <w:r>
        <w:t xml:space="preserve">9:01 price and </w:t>
      </w:r>
      <w:r>
        <w:rPr>
          <w:rFonts w:hint="eastAsia"/>
        </w:rPr>
        <w:t xml:space="preserve">the </w:t>
      </w:r>
      <w:r>
        <w:t xml:space="preserve">15:15 closing price is recorded as </w:t>
      </w:r>
      <w:r>
        <w:rPr>
          <w:rFonts w:hint="eastAsia"/>
        </w:rPr>
        <w:t xml:space="preserve">the </w:t>
      </w:r>
      <w:r>
        <w:t>15:16 price. Therefore</w:t>
      </w:r>
      <w:r>
        <w:rPr>
          <w:rFonts w:hint="eastAsia"/>
        </w:rPr>
        <w:t>,</w:t>
      </w:r>
      <w:r>
        <w:t xml:space="preserve"> we treated </w:t>
      </w:r>
      <w:r>
        <w:rPr>
          <w:rFonts w:hint="eastAsia"/>
        </w:rPr>
        <w:t xml:space="preserve">the </w:t>
      </w:r>
      <w:r>
        <w:t>9:01 price as</w:t>
      </w:r>
      <w:r>
        <w:rPr>
          <w:rFonts w:hint="eastAsia"/>
        </w:rPr>
        <w:t xml:space="preserve"> the</w:t>
      </w:r>
      <w:r>
        <w:t xml:space="preserve"> 9:00 price and </w:t>
      </w:r>
      <w:r>
        <w:rPr>
          <w:rFonts w:hint="eastAsia"/>
        </w:rPr>
        <w:t xml:space="preserve">the </w:t>
      </w:r>
      <w:r>
        <w:t>15:16 price as</w:t>
      </w:r>
      <w:r>
        <w:rPr>
          <w:rFonts w:hint="eastAsia"/>
        </w:rPr>
        <w:t xml:space="preserve"> the</w:t>
      </w:r>
      <w:r>
        <w:t xml:space="preserve"> 15:15 price. The same rule is applied to all other cases. </w:t>
      </w:r>
    </w:p>
  </w:footnote>
  <w:footnote w:id="6">
    <w:p w:rsidR="006B03CF" w:rsidRDefault="006B03CF">
      <w:pPr>
        <w:pStyle w:val="ad"/>
      </w:pPr>
      <w:r>
        <w:rPr>
          <w:rStyle w:val="a6"/>
        </w:rPr>
        <w:footnoteRef/>
      </w:r>
      <w:r>
        <w:t xml:space="preserve"> American Home Mortgage Investment filed for bankruptcy protection on August 2007. We divided the sub</w:t>
      </w:r>
      <w:r>
        <w:rPr>
          <w:rFonts w:hint="eastAsia"/>
        </w:rPr>
        <w:t>-</w:t>
      </w:r>
      <w:r>
        <w:t xml:space="preserve">periods assuming that the filing event triggered </w:t>
      </w:r>
      <w:r>
        <w:rPr>
          <w:rFonts w:hint="eastAsia"/>
        </w:rPr>
        <w:t xml:space="preserve">the </w:t>
      </w:r>
      <w:r>
        <w:t xml:space="preserve">international financial crisis. </w:t>
      </w:r>
      <w:r>
        <w:rPr>
          <w:rFonts w:hint="eastAsia"/>
        </w:rPr>
        <w:t>Soon after,</w:t>
      </w:r>
      <w:r>
        <w:t xml:space="preserve"> Lehman brothers filed for bankruptcy protection on September 2008. </w:t>
      </w:r>
      <w:r>
        <w:rPr>
          <w:rFonts w:hint="eastAsia"/>
        </w:rPr>
        <w:t xml:space="preserve">The </w:t>
      </w:r>
      <w:r>
        <w:t xml:space="preserve">European financial crisis is still </w:t>
      </w:r>
      <w:r>
        <w:rPr>
          <w:rFonts w:hint="eastAsia"/>
        </w:rPr>
        <w:t>ongoing</w:t>
      </w:r>
      <w:r>
        <w:t xml:space="preserve"> even today.   </w:t>
      </w:r>
    </w:p>
  </w:footnote>
  <w:footnote w:id="7">
    <w:p w:rsidR="006B03CF" w:rsidRDefault="006B03CF">
      <w:pPr>
        <w:pStyle w:val="ad"/>
      </w:pPr>
      <w:r>
        <w:rPr>
          <w:rStyle w:val="a6"/>
        </w:rPr>
        <w:footnoteRef/>
      </w:r>
      <w:r>
        <w:t xml:space="preserve"> The difference between </w:t>
      </w:r>
      <w:r>
        <w:rPr>
          <w:rFonts w:hint="eastAsia"/>
        </w:rPr>
        <w:t xml:space="preserve">the </w:t>
      </w:r>
      <w:r>
        <w:t xml:space="preserve">average returns for overnight, daytime and day between spot market and futures markets </w:t>
      </w:r>
      <w:r>
        <w:rPr>
          <w:rFonts w:hint="eastAsia"/>
        </w:rPr>
        <w:t>is</w:t>
      </w:r>
      <w:r>
        <w:t xml:space="preserve"> 0.0062%(t=0.23), -0.0152%(t=-1.63), -0.0090%(t=-0.33)</w:t>
      </w:r>
      <w:r>
        <w:rPr>
          <w:rFonts w:hint="eastAsia"/>
        </w:rPr>
        <w:t>,</w:t>
      </w:r>
      <w:r>
        <w:t xml:space="preserve"> respectively. The values in parentheses are t-values. </w:t>
      </w:r>
    </w:p>
  </w:footnote>
  <w:footnote w:id="8">
    <w:p w:rsidR="006B03CF" w:rsidRDefault="006B03CF">
      <w:pPr>
        <w:pStyle w:val="ad"/>
      </w:pPr>
      <w:r>
        <w:rPr>
          <w:rStyle w:val="a6"/>
        </w:rPr>
        <w:footnoteRef/>
      </w:r>
      <w:r>
        <w:t xml:space="preserve"> A similar phenomenon is reported in Chang</w:t>
      </w:r>
      <w:r>
        <w:rPr>
          <w:rFonts w:hint="eastAsia"/>
        </w:rPr>
        <w:t xml:space="preserve"> </w:t>
      </w:r>
      <w:r>
        <w:t>(1992).</w:t>
      </w:r>
    </w:p>
  </w:footnote>
  <w:footnote w:id="9">
    <w:p w:rsidR="006B03CF" w:rsidRDefault="006B03CF">
      <w:pPr>
        <w:pStyle w:val="ad"/>
      </w:pPr>
      <w:r>
        <w:rPr>
          <w:rStyle w:val="a6"/>
        </w:rPr>
        <w:footnoteRef/>
      </w:r>
      <w:r>
        <w:t xml:space="preserve"> Specifically, KOSPI 200 cash decreased 0.0439%</w:t>
      </w:r>
      <w:r>
        <w:rPr>
          <w:rFonts w:hint="eastAsia"/>
        </w:rPr>
        <w:t xml:space="preserve"> </w:t>
      </w:r>
      <w:r>
        <w:t xml:space="preserve">(t = -5.36) during </w:t>
      </w:r>
      <w:r>
        <w:rPr>
          <w:rFonts w:hint="eastAsia"/>
        </w:rPr>
        <w:t xml:space="preserve">the </w:t>
      </w:r>
      <w:r>
        <w:t>15 minutes after the opening and increased 0.0505%</w:t>
      </w:r>
      <w:r>
        <w:rPr>
          <w:rFonts w:hint="eastAsia"/>
        </w:rPr>
        <w:t xml:space="preserve"> </w:t>
      </w:r>
      <w:r>
        <w:t>(t = 6.55) during the 35 minutes before closing. Before the crisis, the averages are -0.0524%</w:t>
      </w:r>
      <w:r>
        <w:rPr>
          <w:rFonts w:hint="eastAsia"/>
        </w:rPr>
        <w:t xml:space="preserve"> </w:t>
      </w:r>
      <w:r>
        <w:t>(t = -4.76) and 0.0494%</w:t>
      </w:r>
      <w:r>
        <w:rPr>
          <w:rFonts w:hint="eastAsia"/>
        </w:rPr>
        <w:t xml:space="preserve"> </w:t>
      </w:r>
      <w:r>
        <w:t xml:space="preserve">(t = 4.88) respectively, and after the crisis, the averages are </w:t>
      </w:r>
      <w:r>
        <w:t>–</w:t>
      </w:r>
      <w:r>
        <w:t>0.0329%</w:t>
      </w:r>
      <w:r>
        <w:rPr>
          <w:rFonts w:hint="eastAsia"/>
        </w:rPr>
        <w:t xml:space="preserve"> </w:t>
      </w:r>
      <w:r>
        <w:t>(t = -2.69) and 0.0518%</w:t>
      </w:r>
      <w:r>
        <w:rPr>
          <w:rFonts w:hint="eastAsia"/>
        </w:rPr>
        <w:t xml:space="preserve"> </w:t>
      </w:r>
      <w:r>
        <w:t>(t = 4.38)</w:t>
      </w:r>
      <w:r>
        <w:rPr>
          <w:rFonts w:hint="eastAsia"/>
        </w:rPr>
        <w:t xml:space="preserve">, </w:t>
      </w:r>
      <w:r>
        <w:t>respectively.</w:t>
      </w:r>
    </w:p>
  </w:footnote>
  <w:footnote w:id="10">
    <w:p w:rsidR="006B03CF" w:rsidRDefault="006B03CF">
      <w:pPr>
        <w:pStyle w:val="ad"/>
      </w:pPr>
      <w:r>
        <w:rPr>
          <w:rStyle w:val="a6"/>
        </w:rPr>
        <w:footnoteRef/>
      </w:r>
      <w:r>
        <w:t xml:space="preserve"> The intercept in equation</w:t>
      </w:r>
      <w:r>
        <w:rPr>
          <w:rFonts w:hint="eastAsia"/>
        </w:rPr>
        <w:t xml:space="preserve"> </w:t>
      </w:r>
      <w:r>
        <w:t xml:space="preserve">(6) is the same </w:t>
      </w:r>
      <w:proofErr w:type="gramStart"/>
      <w:r>
        <w:t xml:space="preserve">as  </w:t>
      </w:r>
      <w:proofErr w:type="gramEnd"/>
      <m:oMath>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k,j</m:t>
            </m:r>
          </m:sub>
        </m:sSub>
        <m:r>
          <m:rPr>
            <m:sty m:val="p"/>
          </m:rPr>
          <w:rPr>
            <w:rFonts w:ascii="Cambria Math"/>
          </w:rPr>
          <m:t>-</m:t>
        </m:r>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us</m:t>
            </m:r>
          </m:sub>
        </m:sSub>
      </m:oMath>
      <w:r>
        <w:t xml:space="preserve">, where  </w:t>
      </w:r>
      <m:oMath>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k,j</m:t>
            </m:r>
          </m:sub>
        </m:sSub>
      </m:oMath>
      <w:r>
        <w:t xml:space="preserve"> includes</w:t>
      </w:r>
      <w:r>
        <w:rPr>
          <w:rFonts w:hint="eastAsia"/>
        </w:rPr>
        <w:t xml:space="preserve"> the</w:t>
      </w:r>
      <w:r>
        <w:t xml:space="preserve"> daytime effect.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us</m:t>
            </m:r>
          </m:sub>
        </m:sSub>
        <m:r>
          <w:rPr>
            <w:rFonts w:ascii="Cambria Math" w:hAnsi="Cambria Math"/>
          </w:rPr>
          <m:t xml:space="preserve"> </m:t>
        </m:r>
      </m:oMath>
      <w:proofErr w:type="gramStart"/>
      <w:r>
        <w:t>is</w:t>
      </w:r>
      <w:proofErr w:type="gramEnd"/>
      <w:r>
        <w:t xml:space="preserve"> the multiplication of </w:t>
      </w:r>
      <w:r>
        <w:rPr>
          <w:rFonts w:hint="eastAsia"/>
        </w:rPr>
        <w:t xml:space="preserve">the </w:t>
      </w:r>
      <w:r>
        <w:t>average return of S&amp;P</w:t>
      </w:r>
      <w:r>
        <w:rPr>
          <w:rFonts w:hint="eastAsia"/>
        </w:rPr>
        <w:t xml:space="preserve"> </w:t>
      </w:r>
      <w:r>
        <w:t>500</w:t>
      </w:r>
      <w:r>
        <w:rPr>
          <w:rFonts w:hint="eastAsia"/>
        </w:rPr>
        <w:t xml:space="preserve"> </w:t>
      </w:r>
      <w:r>
        <w:t>(</w:t>
      </w:r>
      <m:oMath>
        <m:sSub>
          <m:sSubPr>
            <m:ctrlPr>
              <w:rPr>
                <w:rFonts w:ascii="Cambria Math" w:hAnsi="Cambria Math"/>
              </w:rPr>
            </m:ctrlPr>
          </m:sSubPr>
          <m:e>
            <m:d>
              <m:dPr>
                <m:begChr m:val="〖"/>
                <m:ctrlPr>
                  <w:rPr>
                    <w:rFonts w:ascii="Cambria Math" w:hAnsi="Cambria Math"/>
                  </w:rPr>
                </m:ctrlPr>
              </m:dPr>
              <m:e>
                <m:bar>
                  <m:barPr>
                    <m:pos m:val="top"/>
                    <m:ctrlPr>
                      <w:rPr>
                        <w:rFonts w:ascii="Cambria Math" w:hAnsi="Cambria Math"/>
                      </w:rPr>
                    </m:ctrlPr>
                  </m:barPr>
                  <m:e>
                    <m:r>
                      <m:rPr>
                        <m:sty m:val="p"/>
                      </m:rPr>
                      <w:rPr>
                        <w:rFonts w:ascii="Cambria Math"/>
                      </w:rPr>
                      <m:t>r</m:t>
                    </m:r>
                  </m:e>
                </m:bar>
              </m:e>
            </m:d>
          </m:e>
          <m:sub>
            <m:r>
              <m:rPr>
                <m:sty m:val="p"/>
              </m:rPr>
              <w:rPr>
                <w:rFonts w:ascii="Cambria Math"/>
              </w:rPr>
              <m:t>us</m:t>
            </m:r>
          </m:sub>
        </m:sSub>
      </m:oMath>
      <w:r>
        <w:t>) by slope (</w:t>
      </w:r>
      <m:oMath>
        <m:r>
          <m:rPr>
            <m:sty m:val="p"/>
          </m:rPr>
          <w:rPr>
            <w:rFonts w:ascii="Cambria Math"/>
          </w:rPr>
          <m:t>b</m:t>
        </m:r>
        <m:sSub>
          <m:sSubPr>
            <m:ctrlPr>
              <w:rPr>
                <w:rFonts w:ascii="Cambria Math" w:hAnsi="Cambria Math"/>
              </w:rPr>
            </m:ctrlPr>
          </m:sSubPr>
          <m:e>
            <m:r>
              <m:rPr>
                <m:sty m:val="p"/>
              </m:rPr>
              <w:rPr>
                <w:rFonts w:ascii="Cambria Math"/>
              </w:rPr>
              <m:t> </m:t>
            </m:r>
          </m:e>
          <m:sub>
            <m:d>
              <m:dPr>
                <m:begChr m:val="〖"/>
                <m:ctrlPr>
                  <w:rPr>
                    <w:rFonts w:ascii="Cambria Math" w:hAnsi="Cambria Math"/>
                  </w:rPr>
                </m:ctrlPr>
              </m:dPr>
              <m:e>
                <m:r>
                  <m:rPr>
                    <m:sty m:val="p"/>
                  </m:rPr>
                  <w:rPr>
                    <w:rFonts w:ascii="Cambria Math"/>
                  </w:rPr>
                  <m:t>k,j</m:t>
                </m:r>
              </m:e>
            </m:d>
          </m:sub>
        </m:sSub>
      </m:oMath>
      <w:r>
        <w:t xml:space="preserve">). As  </w:t>
      </w:r>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us</m:t>
            </m:r>
          </m:sub>
        </m:sSub>
      </m:oMath>
      <w:r>
        <w:t xml:space="preserve"> is much smaller </w:t>
      </w:r>
      <w:proofErr w:type="gramStart"/>
      <w:r>
        <w:t xml:space="preserve">than </w:t>
      </w:r>
      <w:proofErr w:type="gramEnd"/>
      <m:oMath>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k,j</m:t>
            </m:r>
          </m:sub>
        </m:sSub>
      </m:oMath>
      <w:r>
        <w:rPr>
          <w:rFonts w:hint="eastAsia"/>
        </w:rPr>
        <w:t xml:space="preserve">, </w:t>
      </w:r>
      <w:r>
        <w:t xml:space="preserve">the intercept pattern in equation (6) is supposed to be dominated by </w:t>
      </w:r>
      <w:r>
        <w:rPr>
          <w:rFonts w:hint="eastAsia"/>
        </w:rPr>
        <w:t xml:space="preserve">the </w:t>
      </w:r>
      <w:r>
        <w:t xml:space="preserve">daytime effect. </w:t>
      </w:r>
    </w:p>
  </w:footnote>
  <w:footnote w:id="11">
    <w:p w:rsidR="006B03CF" w:rsidRDefault="006B03CF">
      <w:pPr>
        <w:pStyle w:val="ad"/>
      </w:pPr>
      <w:r>
        <w:rPr>
          <w:rStyle w:val="a6"/>
        </w:rPr>
        <w:footnoteRef/>
      </w:r>
      <w:r>
        <w:t xml:space="preserve"> The first panel in &lt;Appendix C&gt; shows that  </w:t>
      </w:r>
      <m:oMath>
        <m:sSub>
          <m:sSubPr>
            <m:ctrlPr>
              <w:rPr>
                <w:rFonts w:ascii="Cambria Math" w:hAnsi="Cambria Math"/>
                <w:sz w:val="22"/>
                <w:szCs w:val="22"/>
              </w:rPr>
            </m:ctrlPr>
          </m:sSubPr>
          <m:e>
            <m:r>
              <m:rPr>
                <m:sty m:val="p"/>
              </m:rPr>
              <w:rPr>
                <w:rFonts w:ascii="Cambria Math"/>
                <w:sz w:val="22"/>
                <w:szCs w:val="22"/>
              </w:rPr>
              <m:t>a</m:t>
            </m:r>
          </m:e>
          <m:sub>
            <m:r>
              <m:rPr>
                <m:sty m:val="p"/>
              </m:rPr>
              <w:rPr>
                <w:rFonts w:ascii="Cambria Math"/>
                <w:sz w:val="22"/>
                <w:szCs w:val="22"/>
              </w:rPr>
              <m:t>k,j</m:t>
            </m:r>
          </m:sub>
        </m:sSub>
      </m:oMath>
      <w:r>
        <w:t xml:space="preserve"> estimates in equation</w:t>
      </w:r>
      <w:r>
        <w:rPr>
          <w:rFonts w:hint="eastAsia"/>
        </w:rPr>
        <w:t xml:space="preserve"> </w:t>
      </w:r>
      <w:r>
        <w:t>(6) has very similar pattern as average return in &lt;</w:t>
      </w:r>
      <w:r>
        <w:rPr>
          <w:rFonts w:hint="eastAsia"/>
        </w:rPr>
        <w:t>A</w:t>
      </w:r>
      <w:r>
        <w:t xml:space="preserve">ppendix A&gt;and &lt;Figure 3&gt;.  But specific figures are different by the </w:t>
      </w:r>
      <w:proofErr w:type="gramStart"/>
      <w:r>
        <w:t xml:space="preserve">amount </w:t>
      </w:r>
      <w:proofErr w:type="gramEnd"/>
      <m:oMath>
        <m:r>
          <m:rPr>
            <m:sty m:val="p"/>
          </m:rPr>
          <w:rPr>
            <w:rFonts w:ascii="Cambria Math"/>
          </w:rPr>
          <m:t>b</m:t>
        </m:r>
        <m:sSub>
          <m:sSubPr>
            <m:ctrlPr>
              <w:rPr>
                <w:rFonts w:ascii="Cambria Math" w:hAnsi="Cambria Math"/>
              </w:rPr>
            </m:ctrlPr>
          </m:sSubPr>
          <m:e>
            <m:r>
              <m:rPr>
                <m:sty m:val="p"/>
              </m:rPr>
              <w:rPr>
                <w:rFonts w:ascii="Cambria Math"/>
              </w:rPr>
              <m:t> </m:t>
            </m:r>
          </m:e>
          <m:sub>
            <m:r>
              <m:rPr>
                <m:sty m:val="p"/>
              </m:rPr>
              <w:rPr>
                <w:rFonts w:ascii="Cambria Math"/>
              </w:rPr>
              <m:t>k,j</m:t>
            </m:r>
          </m:sub>
        </m:sSub>
        <m:sSub>
          <m:sSubPr>
            <m:ctrlPr>
              <w:rPr>
                <w:rFonts w:ascii="Cambria Math" w:hAnsi="Cambria Math"/>
              </w:rPr>
            </m:ctrlPr>
          </m:sSubPr>
          <m:e>
            <m:bar>
              <m:barPr>
                <m:pos m:val="top"/>
                <m:ctrlPr>
                  <w:rPr>
                    <w:rFonts w:ascii="Cambria Math" w:hAnsi="Cambria Math"/>
                  </w:rPr>
                </m:ctrlPr>
              </m:barPr>
              <m:e>
                <m:r>
                  <m:rPr>
                    <m:sty m:val="p"/>
                  </m:rPr>
                  <w:rPr>
                    <w:rFonts w:ascii="Cambria Math"/>
                  </w:rPr>
                  <m:t>r</m:t>
                </m:r>
              </m:e>
            </m:bar>
          </m:e>
          <m:sub>
            <m:r>
              <m:rPr>
                <m:sty m:val="p"/>
              </m:rPr>
              <w:rPr>
                <w:rFonts w:ascii="Cambria Math"/>
              </w:rPr>
              <m:t>us</m:t>
            </m:r>
          </m:sub>
        </m:sSub>
      </m:oMath>
      <w:r>
        <w:t>, which was mentioned in footnote (9).</w:t>
      </w:r>
    </w:p>
  </w:footnote>
  <w:footnote w:id="12">
    <w:p w:rsidR="006B03CF" w:rsidRDefault="006B03CF">
      <w:pPr>
        <w:pStyle w:val="ad"/>
      </w:pPr>
      <w:r>
        <w:rPr>
          <w:rStyle w:val="a6"/>
        </w:rPr>
        <w:footnoteRef/>
      </w:r>
      <w:r>
        <w:t xml:space="preserve">   In order to check the impact of</w:t>
      </w:r>
      <w:r>
        <w:rPr>
          <w:rFonts w:hint="eastAsia"/>
        </w:rPr>
        <w:t xml:space="preserve"> the</w:t>
      </w:r>
      <w:r>
        <w:t xml:space="preserve"> night futures market opening, we estimated equation</w:t>
      </w:r>
      <w:r>
        <w:rPr>
          <w:rFonts w:hint="eastAsia"/>
        </w:rPr>
        <w:t xml:space="preserve"> </w:t>
      </w:r>
      <w:r>
        <w:t>(6) for the two sub</w:t>
      </w:r>
      <w:r>
        <w:rPr>
          <w:rFonts w:hint="eastAsia"/>
        </w:rPr>
        <w:t>-</w:t>
      </w:r>
      <w:r>
        <w:t xml:space="preserve">periods: before the opening (period from August 1, 2007 to November 15, 2009) and after the opening period from November 16, 2009 to August 31, 2012). The KOSPI futures night market opened on November 16, 2009. We found that </w:t>
      </w:r>
      <m:oMath>
        <m:r>
          <m:rPr>
            <m:sty m:val="p"/>
          </m:rPr>
          <w:rPr>
            <w:rFonts w:ascii="Cambria Math"/>
          </w:rPr>
          <m:t>b_</m:t>
        </m:r>
        <m:r>
          <m:rPr>
            <m:sty m:val="p"/>
          </m:rPr>
          <w:rPr>
            <w:rFonts w:ascii="Cambria Math"/>
          </w:rPr>
          <m:t>〖</m:t>
        </m:r>
        <m:r>
          <m:rPr>
            <m:sty m:val="p"/>
          </m:rPr>
          <w:rPr>
            <w:rFonts w:ascii="Cambria Math"/>
          </w:rPr>
          <m:t>k,j</m:t>
        </m:r>
        <m:r>
          <m:rPr>
            <m:sty m:val="p"/>
          </m:rPr>
          <w:rPr>
            <w:rFonts w:ascii="Cambria Math"/>
          </w:rPr>
          <m:t>〗</m:t>
        </m:r>
        <m:r>
          <m:rPr>
            <m:sty m:val="p"/>
          </m:rPr>
          <w:rPr>
            <w:rFonts w:ascii="Cambria Math"/>
          </w:rPr>
          <m:t xml:space="preserve"> </m:t>
        </m:r>
      </m:oMath>
      <w:r>
        <w:t xml:space="preserve"> is significantly greater after the opening of the night market. For this topic</w:t>
      </w:r>
      <w:r>
        <w:rPr>
          <w:rFonts w:hint="eastAsia"/>
        </w:rPr>
        <w:t>,</w:t>
      </w:r>
      <w:r>
        <w:t xml:space="preserve"> we may need to </w:t>
      </w:r>
      <w:r>
        <w:rPr>
          <w:rFonts w:hint="eastAsia"/>
        </w:rPr>
        <w:t>conduct</w:t>
      </w:r>
      <w:r>
        <w:t xml:space="preserve"> further studies.  </w:t>
      </w:r>
    </w:p>
  </w:footnote>
  <w:footnote w:id="13">
    <w:p w:rsidR="006B03CF" w:rsidRDefault="006B03CF">
      <w:pPr>
        <w:pStyle w:val="ad"/>
      </w:pPr>
      <w:r>
        <w:rPr>
          <w:rStyle w:val="a6"/>
        </w:rPr>
        <w:footnoteRef/>
      </w:r>
      <w:r>
        <w:t xml:space="preserve"> This result should be taken for granted as futures contracts are usually cleared by opposite transactions. </w:t>
      </w:r>
    </w:p>
  </w:footnote>
  <w:footnote w:id="14">
    <w:p w:rsidR="006B03CF" w:rsidRDefault="006B03CF">
      <w:pPr>
        <w:pStyle w:val="ad"/>
      </w:pPr>
      <w:r>
        <w:rPr>
          <w:rStyle w:val="a6"/>
        </w:rPr>
        <w:footnoteRef/>
      </w:r>
      <w:r>
        <w:t xml:space="preserve"> The </w:t>
      </w:r>
      <w:r>
        <w:rPr>
          <w:rFonts w:hint="eastAsia"/>
        </w:rPr>
        <w:t xml:space="preserve">pre-crisis </w:t>
      </w:r>
      <w:r>
        <w:t xml:space="preserve">results in &lt;Table 3&gt; </w:t>
      </w:r>
      <w:r>
        <w:rPr>
          <w:rFonts w:hint="eastAsia"/>
        </w:rPr>
        <w:t>are</w:t>
      </w:r>
      <w:r>
        <w:t xml:space="preserve"> similar to the results in Park &amp; Yi</w:t>
      </w:r>
      <w:r>
        <w:t>’</w:t>
      </w:r>
      <w:r>
        <w:rPr>
          <w:rFonts w:hint="eastAsia"/>
        </w:rPr>
        <w:t xml:space="preserve">s </w:t>
      </w:r>
      <w:r>
        <w:t xml:space="preserve">(2011) Panel A in Table 6.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3CF" w:rsidRDefault="006B03CF">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62EBF"/>
    <w:multiLevelType w:val="multilevel"/>
    <w:tmpl w:val="05889D2E"/>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numFmt w:val="decimal"/>
      <w:lvlText w:val=""/>
      <w:lvlJc w:val="left"/>
    </w:lvl>
    <w:lvl w:ilvl="8">
      <w:numFmt w:val="decimal"/>
      <w:lvlText w:val=""/>
      <w:lvlJc w:val="left"/>
    </w:lvl>
  </w:abstractNum>
  <w:abstractNum w:abstractNumId="1">
    <w:nsid w:val="3A7C5EEE"/>
    <w:multiLevelType w:val="multilevel"/>
    <w:tmpl w:val="4B5678F0"/>
    <w:lvl w:ilvl="0">
      <w:start w:val="1"/>
      <w:numFmt w:val="bullet"/>
      <w:suff w:val="space"/>
      <w:lvlText w:val="∙"/>
      <w:lvlJc w:val="left"/>
      <w:pPr>
        <w:ind w:left="0" w:firstLine="0"/>
      </w:pPr>
      <w:rPr>
        <w:rFonts w:ascii="Arial Unicode MS" w:hAnsi="Arial Unicode M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50213A78"/>
    <w:multiLevelType w:val="multilevel"/>
    <w:tmpl w:val="980813E8"/>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numFmt w:val="decimal"/>
      <w:lvlText w:val=""/>
      <w:lvlJc w:val="left"/>
    </w:lvl>
    <w:lvl w:ilvl="8">
      <w:numFmt w:val="decimal"/>
      <w:lvlText w:val=""/>
      <w:lvlJc w:val="left"/>
    </w:lvl>
  </w:abstractNum>
  <w:abstractNum w:abstractNumId="3">
    <w:nsid w:val="7FAB1B94"/>
    <w:multiLevelType w:val="multilevel"/>
    <w:tmpl w:val="4D180F1C"/>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numFmt w:val="decimal"/>
      <w:lvlText w:val=""/>
      <w:lvlJc w:val="left"/>
    </w:lvl>
    <w:lvl w:ilvl="8">
      <w:numFmt w:val="decimal"/>
      <w:lvlText w:val=""/>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44840"/>
    <w:rsid w:val="00010AD6"/>
    <w:rsid w:val="00027951"/>
    <w:rsid w:val="00042DA2"/>
    <w:rsid w:val="00054B81"/>
    <w:rsid w:val="0005773C"/>
    <w:rsid w:val="00067D54"/>
    <w:rsid w:val="000919B2"/>
    <w:rsid w:val="000B49FF"/>
    <w:rsid w:val="000E1DE7"/>
    <w:rsid w:val="00104F4F"/>
    <w:rsid w:val="00127D9B"/>
    <w:rsid w:val="001366D6"/>
    <w:rsid w:val="00152C28"/>
    <w:rsid w:val="00153104"/>
    <w:rsid w:val="0015743A"/>
    <w:rsid w:val="00172D02"/>
    <w:rsid w:val="0019057A"/>
    <w:rsid w:val="001B17BA"/>
    <w:rsid w:val="001E663E"/>
    <w:rsid w:val="001F2DF6"/>
    <w:rsid w:val="001F4BC6"/>
    <w:rsid w:val="001F56AC"/>
    <w:rsid w:val="002218C0"/>
    <w:rsid w:val="00275FFC"/>
    <w:rsid w:val="00282E27"/>
    <w:rsid w:val="002918B2"/>
    <w:rsid w:val="0029485A"/>
    <w:rsid w:val="002B18FF"/>
    <w:rsid w:val="002D491C"/>
    <w:rsid w:val="002F1C8D"/>
    <w:rsid w:val="002F29D3"/>
    <w:rsid w:val="003230B7"/>
    <w:rsid w:val="00326FEB"/>
    <w:rsid w:val="00384981"/>
    <w:rsid w:val="003B2165"/>
    <w:rsid w:val="003B7F16"/>
    <w:rsid w:val="003D65C8"/>
    <w:rsid w:val="003F50D4"/>
    <w:rsid w:val="00414AC4"/>
    <w:rsid w:val="00423A59"/>
    <w:rsid w:val="00442FC9"/>
    <w:rsid w:val="00455374"/>
    <w:rsid w:val="00457615"/>
    <w:rsid w:val="004737B0"/>
    <w:rsid w:val="004807DF"/>
    <w:rsid w:val="004A7047"/>
    <w:rsid w:val="004E4790"/>
    <w:rsid w:val="004F102D"/>
    <w:rsid w:val="004F2296"/>
    <w:rsid w:val="00525058"/>
    <w:rsid w:val="0054541B"/>
    <w:rsid w:val="00565B9D"/>
    <w:rsid w:val="00575E43"/>
    <w:rsid w:val="005854BD"/>
    <w:rsid w:val="005B3004"/>
    <w:rsid w:val="005C09F1"/>
    <w:rsid w:val="005F3832"/>
    <w:rsid w:val="00640B64"/>
    <w:rsid w:val="00644B58"/>
    <w:rsid w:val="006826CE"/>
    <w:rsid w:val="00685AFA"/>
    <w:rsid w:val="006908A3"/>
    <w:rsid w:val="006B03CF"/>
    <w:rsid w:val="006D1612"/>
    <w:rsid w:val="00727806"/>
    <w:rsid w:val="00732AAB"/>
    <w:rsid w:val="00732DE2"/>
    <w:rsid w:val="0076712F"/>
    <w:rsid w:val="00773CB9"/>
    <w:rsid w:val="00774A63"/>
    <w:rsid w:val="00794BF1"/>
    <w:rsid w:val="007A5225"/>
    <w:rsid w:val="007F4D02"/>
    <w:rsid w:val="008204D6"/>
    <w:rsid w:val="00823AE1"/>
    <w:rsid w:val="00847DCB"/>
    <w:rsid w:val="00877AC4"/>
    <w:rsid w:val="008835BF"/>
    <w:rsid w:val="00897627"/>
    <w:rsid w:val="008A53B6"/>
    <w:rsid w:val="008B2726"/>
    <w:rsid w:val="008D333C"/>
    <w:rsid w:val="008E08AB"/>
    <w:rsid w:val="008E1885"/>
    <w:rsid w:val="008F67E3"/>
    <w:rsid w:val="009279C9"/>
    <w:rsid w:val="0094672B"/>
    <w:rsid w:val="00966A15"/>
    <w:rsid w:val="009B4DDA"/>
    <w:rsid w:val="009D40C0"/>
    <w:rsid w:val="009E3244"/>
    <w:rsid w:val="009F3631"/>
    <w:rsid w:val="00A0581C"/>
    <w:rsid w:val="00A44840"/>
    <w:rsid w:val="00A75D20"/>
    <w:rsid w:val="00AD3FA7"/>
    <w:rsid w:val="00AD43C4"/>
    <w:rsid w:val="00AD5568"/>
    <w:rsid w:val="00B23F38"/>
    <w:rsid w:val="00B51FDD"/>
    <w:rsid w:val="00B5675A"/>
    <w:rsid w:val="00B70B45"/>
    <w:rsid w:val="00BC15C0"/>
    <w:rsid w:val="00BC4C86"/>
    <w:rsid w:val="00BD5867"/>
    <w:rsid w:val="00C12F1D"/>
    <w:rsid w:val="00C24636"/>
    <w:rsid w:val="00C52B3A"/>
    <w:rsid w:val="00C72527"/>
    <w:rsid w:val="00CA37ED"/>
    <w:rsid w:val="00CB08B0"/>
    <w:rsid w:val="00CB68AD"/>
    <w:rsid w:val="00CB6A44"/>
    <w:rsid w:val="00CD41AD"/>
    <w:rsid w:val="00CE1DE9"/>
    <w:rsid w:val="00CE2D22"/>
    <w:rsid w:val="00CE60C5"/>
    <w:rsid w:val="00D06C81"/>
    <w:rsid w:val="00D23661"/>
    <w:rsid w:val="00D35F5E"/>
    <w:rsid w:val="00D60703"/>
    <w:rsid w:val="00D65803"/>
    <w:rsid w:val="00D821AF"/>
    <w:rsid w:val="00D854DF"/>
    <w:rsid w:val="00D91DF9"/>
    <w:rsid w:val="00D939D1"/>
    <w:rsid w:val="00DB31D9"/>
    <w:rsid w:val="00DB38D4"/>
    <w:rsid w:val="00E01700"/>
    <w:rsid w:val="00E0466A"/>
    <w:rsid w:val="00E37E13"/>
    <w:rsid w:val="00E444DD"/>
    <w:rsid w:val="00E445FC"/>
    <w:rsid w:val="00E52E8A"/>
    <w:rsid w:val="00E64E10"/>
    <w:rsid w:val="00E87DC3"/>
    <w:rsid w:val="00ED322A"/>
    <w:rsid w:val="00ED692E"/>
    <w:rsid w:val="00EF265E"/>
    <w:rsid w:val="00F22BB4"/>
    <w:rsid w:val="00F45819"/>
    <w:rsid w:val="00F46AF2"/>
    <w:rsid w:val="00F53020"/>
    <w:rsid w:val="00F77706"/>
    <w:rsid w:val="00FB4FD8"/>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9"/>
    <w:lsdException w:name="Title" w:uiPriority="35" w:qFormat="1"/>
    <w:lsdException w:name="Default Paragraph Font" w:semiHidden="0" w:uiPriority="10" w:unhideWhenUsed="0" w:qFormat="1"/>
    <w:lsdException w:name="Subtitle" w:uiPriority="1"/>
    <w:lsdException w:name="Date" w:uiPriority="0"/>
    <w:lsdException w:name="Strong" w:semiHidden="0" w:uiPriority="11" w:unhideWhenUsed="0" w:qFormat="1"/>
    <w:lsdException w:name="Emphasis" w:semiHidden="0" w:uiPriority="22" w:unhideWhenUsed="0" w:qFormat="1"/>
    <w:lsdException w:name="Table Grid" w:semiHidden="0" w:uiPriority="20" w:unhideWhenUsed="0" w:qFormat="1"/>
    <w:lsdException w:name="Placeholder Text" w:semiHidden="0" w:uiPriority="59" w:unhideWhenUsed="0"/>
    <w:lsdException w:name="No Spacing" w:unhideWhenUsed="0"/>
    <w:lsdException w:name="Light Shading" w:semiHidden="0" w:uiPriority="1" w:unhideWhenUsed="0" w:qFormat="1"/>
    <w:lsdException w:name="Light List" w:semiHidden="0" w:uiPriority="60" w:unhideWhenUsed="0"/>
    <w:lsdException w:name="Light Grid" w:semiHidden="0" w:uiPriority="61" w:unhideWhenUsed="0"/>
    <w:lsdException w:name="Medium Shading 1" w:semiHidden="0" w:uiPriority="62" w:unhideWhenUsed="0"/>
    <w:lsdException w:name="Medium Shading 2" w:semiHidden="0" w:uiPriority="63" w:unhideWhenUsed="0"/>
    <w:lsdException w:name="Medium List 1" w:semiHidden="0" w:uiPriority="64" w:unhideWhenUsed="0"/>
    <w:lsdException w:name="Medium List 2" w:semiHidden="0" w:uiPriority="65" w:unhideWhenUsed="0"/>
    <w:lsdException w:name="Medium Grid 1" w:semiHidden="0" w:uiPriority="66" w:unhideWhenUsed="0"/>
    <w:lsdException w:name="Medium Grid 2" w:semiHidden="0" w:uiPriority="67" w:unhideWhenUsed="0"/>
    <w:lsdException w:name="Medium Grid 3" w:semiHidden="0" w:uiPriority="68" w:unhideWhenUsed="0"/>
    <w:lsdException w:name="Dark List" w:semiHidden="0" w:uiPriority="69" w:unhideWhenUsed="0"/>
    <w:lsdException w:name="Colorful Shading" w:semiHidden="0" w:uiPriority="70" w:unhideWhenUsed="0"/>
    <w:lsdException w:name="Colorful List" w:semiHidden="0" w:uiPriority="71" w:unhideWhenUsed="0"/>
    <w:lsdException w:name="Colorful Grid" w:semiHidden="0" w:uiPriority="72" w:unhideWhenUsed="0"/>
    <w:lsdException w:name="Light Shading Accent 1" w:semiHidden="0" w:uiPriority="73" w:unhideWhenUsed="0"/>
    <w:lsdException w:name="Light List Accent 1" w:semiHidden="0" w:uiPriority="60" w:unhideWhenUsed="0"/>
    <w:lsdException w:name="Light Grid Accent 1" w:semiHidden="0" w:uiPriority="61" w:unhideWhenUsed="0"/>
    <w:lsdException w:name="Medium Shading 1 Accent 1" w:semiHidden="0" w:uiPriority="62" w:unhideWhenUsed="0"/>
    <w:lsdException w:name="Medium Shading 2 Accent 1" w:semiHidden="0" w:uiPriority="63" w:unhideWhenUsed="0"/>
    <w:lsdException w:name="Medium List 1 Accent 1" w:semiHidden="0" w:uiPriority="64" w:unhideWhenUsed="0"/>
    <w:lsdException w:name="Revision" w:semiHidden="0" w:uiPriority="65" w:unhideWhenUsed="0"/>
    <w:lsdException w:name="List Paragraph" w:unhideWhenUsed="0"/>
    <w:lsdException w:name="Quote" w:semiHidden="0" w:uiPriority="34" w:unhideWhenUsed="0" w:qFormat="1"/>
    <w:lsdException w:name="Intense Quote" w:semiHidden="0" w:uiPriority="29" w:unhideWhenUsed="0" w:qFormat="1"/>
    <w:lsdException w:name="Medium List 2 Accent 1" w:semiHidden="0" w:uiPriority="30" w:unhideWhenUsed="0" w:qFormat="1"/>
    <w:lsdException w:name="Medium Grid 1 Accent 1" w:semiHidden="0" w:uiPriority="66" w:unhideWhenUsed="0"/>
    <w:lsdException w:name="Medium Grid 2 Accent 1" w:semiHidden="0" w:uiPriority="67" w:unhideWhenUsed="0"/>
    <w:lsdException w:name="Medium Grid 3 Accent 1" w:semiHidden="0" w:uiPriority="68" w:unhideWhenUsed="0"/>
    <w:lsdException w:name="Dark List Accent 1" w:semiHidden="0" w:uiPriority="69" w:unhideWhenUsed="0"/>
    <w:lsdException w:name="Colorful Shading Accent 1" w:semiHidden="0" w:uiPriority="70" w:unhideWhenUsed="0"/>
    <w:lsdException w:name="Colorful List Accent 1" w:semiHidden="0" w:uiPriority="71" w:unhideWhenUsed="0"/>
    <w:lsdException w:name="Colorful Grid Accent 1" w:semiHidden="0" w:uiPriority="72" w:unhideWhenUsed="0"/>
    <w:lsdException w:name="Light Shading Accent 2" w:semiHidden="0" w:uiPriority="73" w:unhideWhenUsed="0"/>
    <w:lsdException w:name="Light List Accent 2" w:semiHidden="0" w:uiPriority="60" w:unhideWhenUsed="0"/>
    <w:lsdException w:name="Light Grid Accent 2" w:semiHidden="0" w:uiPriority="61" w:unhideWhenUsed="0"/>
    <w:lsdException w:name="Medium Shading 1 Accent 2" w:semiHidden="0" w:uiPriority="62" w:unhideWhenUsed="0"/>
    <w:lsdException w:name="Medium Shading 2 Accent 2" w:semiHidden="0" w:uiPriority="63" w:unhideWhenUsed="0"/>
    <w:lsdException w:name="Medium List 1 Accent 2" w:semiHidden="0" w:uiPriority="64" w:unhideWhenUsed="0"/>
    <w:lsdException w:name="Medium List 2 Accent 2" w:semiHidden="0" w:uiPriority="65" w:unhideWhenUsed="0"/>
    <w:lsdException w:name="Medium Grid 1 Accent 2" w:semiHidden="0" w:uiPriority="66" w:unhideWhenUsed="0"/>
    <w:lsdException w:name="Medium Grid 2 Accent 2" w:semiHidden="0" w:uiPriority="67" w:unhideWhenUsed="0"/>
    <w:lsdException w:name="Medium Grid 3 Accent 2" w:semiHidden="0" w:uiPriority="68" w:unhideWhenUsed="0"/>
    <w:lsdException w:name="Dark List Accent 2" w:semiHidden="0" w:uiPriority="69" w:unhideWhenUsed="0"/>
    <w:lsdException w:name="Colorful Shading Accent 2" w:semiHidden="0" w:uiPriority="70" w:unhideWhenUsed="0"/>
    <w:lsdException w:name="Colorful List Accent 2" w:semiHidden="0" w:uiPriority="71" w:unhideWhenUsed="0"/>
    <w:lsdException w:name="Colorful Grid Accent 2" w:semiHidden="0" w:uiPriority="72" w:unhideWhenUsed="0"/>
    <w:lsdException w:name="Light Shading Accent 3" w:semiHidden="0" w:uiPriority="73" w:unhideWhenUsed="0"/>
    <w:lsdException w:name="Light List Accent 3" w:semiHidden="0" w:uiPriority="60" w:unhideWhenUsed="0"/>
    <w:lsdException w:name="Light Grid Accent 3" w:semiHidden="0" w:uiPriority="61" w:unhideWhenUsed="0"/>
    <w:lsdException w:name="Medium Shading 1 Accent 3" w:semiHidden="0" w:uiPriority="62" w:unhideWhenUsed="0"/>
    <w:lsdException w:name="Medium Shading 2 Accent 3" w:semiHidden="0" w:uiPriority="63" w:unhideWhenUsed="0"/>
    <w:lsdException w:name="Medium List 1 Accent 3" w:semiHidden="0" w:uiPriority="64" w:unhideWhenUsed="0"/>
    <w:lsdException w:name="Medium List 2 Accent 3" w:semiHidden="0" w:uiPriority="65" w:unhideWhenUsed="0"/>
    <w:lsdException w:name="Medium Grid 1 Accent 3" w:semiHidden="0" w:uiPriority="66" w:unhideWhenUsed="0"/>
    <w:lsdException w:name="Medium Grid 2 Accent 3" w:semiHidden="0" w:uiPriority="67" w:unhideWhenUsed="0"/>
    <w:lsdException w:name="Medium Grid 3 Accent 3" w:semiHidden="0" w:uiPriority="68" w:unhideWhenUsed="0"/>
    <w:lsdException w:name="Dark List Accent 3" w:semiHidden="0" w:uiPriority="69" w:unhideWhenUsed="0"/>
    <w:lsdException w:name="Colorful Shading Accent 3" w:semiHidden="0" w:uiPriority="70" w:unhideWhenUsed="0"/>
    <w:lsdException w:name="Colorful List Accent 3" w:semiHidden="0" w:uiPriority="71" w:unhideWhenUsed="0"/>
    <w:lsdException w:name="Colorful Grid Accent 3" w:semiHidden="0" w:uiPriority="72" w:unhideWhenUsed="0"/>
    <w:lsdException w:name="Light Shading Accent 4" w:semiHidden="0" w:uiPriority="73" w:unhideWhenUsed="0"/>
    <w:lsdException w:name="Light List Accent 4" w:semiHidden="0" w:uiPriority="60" w:unhideWhenUsed="0"/>
    <w:lsdException w:name="Light Grid Accent 4" w:semiHidden="0" w:uiPriority="61" w:unhideWhenUsed="0"/>
    <w:lsdException w:name="Medium Shading 1 Accent 4" w:semiHidden="0" w:uiPriority="62" w:unhideWhenUsed="0"/>
    <w:lsdException w:name="Medium Shading 2 Accent 4" w:semiHidden="0" w:uiPriority="63" w:unhideWhenUsed="0"/>
    <w:lsdException w:name="Medium List 1 Accent 4" w:semiHidden="0" w:uiPriority="64" w:unhideWhenUsed="0"/>
    <w:lsdException w:name="Medium List 2 Accent 4" w:semiHidden="0" w:uiPriority="65" w:unhideWhenUsed="0"/>
    <w:lsdException w:name="Medium Grid 1 Accent 4" w:semiHidden="0" w:uiPriority="66" w:unhideWhenUsed="0"/>
    <w:lsdException w:name="Medium Grid 2 Accent 4" w:semiHidden="0" w:uiPriority="67" w:unhideWhenUsed="0"/>
    <w:lsdException w:name="Medium Grid 3 Accent 4" w:semiHidden="0" w:uiPriority="68" w:unhideWhenUsed="0"/>
    <w:lsdException w:name="Dark List Accent 4" w:semiHidden="0" w:uiPriority="69" w:unhideWhenUsed="0"/>
    <w:lsdException w:name="Colorful Shading Accent 4" w:semiHidden="0" w:uiPriority="70" w:unhideWhenUsed="0"/>
    <w:lsdException w:name="Colorful List Accent 4" w:semiHidden="0" w:uiPriority="71" w:unhideWhenUsed="0"/>
    <w:lsdException w:name="Colorful Grid Accent 4" w:semiHidden="0" w:uiPriority="72" w:unhideWhenUsed="0"/>
    <w:lsdException w:name="Light Shading Accent 5" w:semiHidden="0" w:uiPriority="73" w:unhideWhenUsed="0"/>
    <w:lsdException w:name="Light List Accent 5" w:semiHidden="0" w:uiPriority="60" w:unhideWhenUsed="0"/>
    <w:lsdException w:name="Light Grid Accent 5" w:semiHidden="0" w:uiPriority="61" w:unhideWhenUsed="0"/>
    <w:lsdException w:name="Medium Shading 1 Accent 5" w:semiHidden="0" w:uiPriority="62" w:unhideWhenUsed="0"/>
    <w:lsdException w:name="Medium Shading 2 Accent 5" w:semiHidden="0" w:uiPriority="63" w:unhideWhenUsed="0"/>
    <w:lsdException w:name="Medium List 1 Accent 5" w:semiHidden="0" w:uiPriority="64" w:unhideWhenUsed="0"/>
    <w:lsdException w:name="Medium List 2 Accent 5" w:semiHidden="0" w:uiPriority="65" w:unhideWhenUsed="0"/>
    <w:lsdException w:name="Medium Grid 1 Accent 5" w:semiHidden="0" w:uiPriority="66" w:unhideWhenUsed="0"/>
    <w:lsdException w:name="Medium Grid 2 Accent 5" w:semiHidden="0" w:uiPriority="67" w:unhideWhenUsed="0"/>
    <w:lsdException w:name="Medium Grid 3 Accent 5" w:semiHidden="0" w:uiPriority="68" w:unhideWhenUsed="0"/>
    <w:lsdException w:name="Dark List Accent 5" w:semiHidden="0" w:uiPriority="69" w:unhideWhenUsed="0"/>
    <w:lsdException w:name="Colorful Shading Accent 5" w:semiHidden="0" w:uiPriority="70" w:unhideWhenUsed="0"/>
    <w:lsdException w:name="Colorful List Accent 5" w:semiHidden="0" w:uiPriority="71" w:unhideWhenUsed="0"/>
    <w:lsdException w:name="Colorful Grid Accent 5" w:semiHidden="0" w:uiPriority="72" w:unhideWhenUsed="0"/>
    <w:lsdException w:name="Light Shading Accent 6" w:semiHidden="0" w:uiPriority="73" w:unhideWhenUsed="0"/>
    <w:lsdException w:name="Light List Accent 6" w:semiHidden="0" w:uiPriority="60" w:unhideWhenUsed="0"/>
    <w:lsdException w:name="Light Grid Accent 6" w:semiHidden="0" w:uiPriority="61" w:unhideWhenUsed="0"/>
    <w:lsdException w:name="Medium Shading 1 Accent 6" w:semiHidden="0" w:uiPriority="62" w:unhideWhenUsed="0"/>
    <w:lsdException w:name="Medium Shading 2 Accent 6" w:semiHidden="0" w:uiPriority="63" w:unhideWhenUsed="0"/>
    <w:lsdException w:name="Medium List 1 Accent 6" w:semiHidden="0" w:uiPriority="64" w:unhideWhenUsed="0"/>
    <w:lsdException w:name="Medium List 2 Accent 6" w:semiHidden="0" w:uiPriority="65" w:unhideWhenUsed="0"/>
    <w:lsdException w:name="Medium Grid 1 Accent 6" w:semiHidden="0" w:uiPriority="66" w:unhideWhenUsed="0"/>
    <w:lsdException w:name="Medium Grid 2 Accent 6" w:semiHidden="0" w:uiPriority="67" w:unhideWhenUsed="0"/>
    <w:lsdException w:name="Medium Grid 3 Accent 6" w:semiHidden="0" w:uiPriority="68" w:unhideWhenUsed="0"/>
    <w:lsdException w:name="Dark List Accent 6" w:semiHidden="0" w:uiPriority="69" w:unhideWhenUsed="0"/>
    <w:lsdException w:name="Colorful Shading Accent 6" w:semiHidden="0" w:uiPriority="70" w:unhideWhenUsed="0"/>
    <w:lsdException w:name="Colorful List Accent 6" w:semiHidden="0" w:uiPriority="71" w:unhideWhenUsed="0"/>
    <w:lsdException w:name="Colorful Grid Accent 6" w:semiHidden="0" w:uiPriority="72" w:unhideWhenUsed="0"/>
    <w:lsdException w:name="Subtle Emphasis" w:semiHidden="0" w:uiPriority="73" w:unhideWhenUsed="0"/>
    <w:lsdException w:name="Intense Emphasis" w:semiHidden="0" w:uiPriority="19" w:unhideWhenUsed="0" w:qFormat="1"/>
    <w:lsdException w:name="Subtle Reference" w:semiHidden="0" w:uiPriority="21" w:unhideWhenUsed="0" w:qFormat="1"/>
    <w:lsdException w:name="Intense Reference" w:semiHidden="0" w:uiPriority="31" w:unhideWhenUsed="0" w:qFormat="1"/>
    <w:lsdException w:name="Book Title" w:semiHidden="0" w:uiPriority="32" w:unhideWhenUsed="0" w:qFormat="1"/>
    <w:lsdException w:name="Bibliography" w:semiHidden="0" w:uiPriority="33" w:unhideWhenUsed="0" w:qFormat="1"/>
    <w:lsdException w:name="TOC Heading" w:uiPriority="39" w:qFormat="1"/>
  </w:latentStyles>
  <w:style w:type="paragraph" w:default="1" w:styleId="a">
    <w:name w:val="Normal"/>
    <w:qFormat/>
    <w:rsid w:val="00104F4F"/>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04F4F"/>
    <w:pPr>
      <w:tabs>
        <w:tab w:val="center" w:pos="4513"/>
        <w:tab w:val="right" w:pos="9026"/>
      </w:tabs>
      <w:snapToGrid w:val="0"/>
    </w:pPr>
  </w:style>
  <w:style w:type="character" w:customStyle="1" w:styleId="Char">
    <w:name w:val="머리글 Char"/>
    <w:basedOn w:val="a0"/>
    <w:link w:val="a3"/>
    <w:uiPriority w:val="99"/>
    <w:rsid w:val="00104F4F"/>
  </w:style>
  <w:style w:type="paragraph" w:styleId="a4">
    <w:name w:val="footer"/>
    <w:basedOn w:val="a"/>
    <w:link w:val="Char0"/>
    <w:uiPriority w:val="99"/>
    <w:unhideWhenUsed/>
    <w:rsid w:val="00104F4F"/>
    <w:pPr>
      <w:tabs>
        <w:tab w:val="center" w:pos="4513"/>
        <w:tab w:val="right" w:pos="9026"/>
      </w:tabs>
      <w:snapToGrid w:val="0"/>
    </w:pPr>
  </w:style>
  <w:style w:type="character" w:customStyle="1" w:styleId="Char0">
    <w:name w:val="바닥글 Char"/>
    <w:basedOn w:val="a0"/>
    <w:link w:val="a4"/>
    <w:uiPriority w:val="99"/>
    <w:rsid w:val="00104F4F"/>
  </w:style>
  <w:style w:type="character" w:styleId="a5">
    <w:name w:val="Hyperlink"/>
    <w:basedOn w:val="a0"/>
    <w:uiPriority w:val="99"/>
    <w:unhideWhenUsed/>
    <w:rsid w:val="00104F4F"/>
    <w:rPr>
      <w:color w:val="0000FF" w:themeColor="hyperlink"/>
      <w:u w:val="single"/>
    </w:rPr>
  </w:style>
  <w:style w:type="character" w:styleId="a6">
    <w:name w:val="footnote reference"/>
    <w:basedOn w:val="a0"/>
    <w:uiPriority w:val="99"/>
    <w:semiHidden/>
    <w:unhideWhenUsed/>
    <w:rsid w:val="00104F4F"/>
    <w:rPr>
      <w:vertAlign w:val="superscript"/>
    </w:rPr>
  </w:style>
  <w:style w:type="character" w:styleId="a7">
    <w:name w:val="endnote reference"/>
    <w:basedOn w:val="a0"/>
    <w:uiPriority w:val="99"/>
    <w:semiHidden/>
    <w:unhideWhenUsed/>
    <w:rsid w:val="00104F4F"/>
    <w:rPr>
      <w:vertAlign w:val="superscript"/>
    </w:rPr>
  </w:style>
  <w:style w:type="paragraph" w:customStyle="1" w:styleId="a8">
    <w:name w:val="바탕글"/>
    <w:qFormat/>
    <w:rsid w:val="00104F4F"/>
    <w:pPr>
      <w:widowControl w:val="0"/>
      <w:wordWrap w:val="0"/>
      <w:autoSpaceDE w:val="0"/>
      <w:autoSpaceDN w:val="0"/>
      <w:snapToGrid w:val="0"/>
      <w:spacing w:line="249" w:lineRule="auto"/>
      <w:ind w:firstLine="200"/>
      <w:jc w:val="both"/>
    </w:pPr>
    <w:rPr>
      <w:rFonts w:ascii="HY신명조" w:eastAsia="HY신명조" w:hAnsi="Arial Unicode MS" w:cs="HY신명조"/>
      <w:color w:val="000000"/>
      <w:spacing w:val="6"/>
      <w:sz w:val="22"/>
    </w:rPr>
  </w:style>
  <w:style w:type="paragraph" w:customStyle="1" w:styleId="a9">
    <w:name w:val="큰제목"/>
    <w:qFormat/>
    <w:rsid w:val="00104F4F"/>
    <w:pPr>
      <w:widowControl w:val="0"/>
      <w:autoSpaceDE w:val="0"/>
      <w:autoSpaceDN w:val="0"/>
      <w:snapToGrid w:val="0"/>
      <w:spacing w:line="280" w:lineRule="auto"/>
      <w:jc w:val="center"/>
    </w:pPr>
    <w:rPr>
      <w:rFonts w:ascii="휴먼고딕" w:eastAsia="휴먼고딕" w:hAnsi="Arial Unicode MS" w:cs="휴먼고딕"/>
      <w:b/>
      <w:bCs/>
      <w:color w:val="000000"/>
      <w:spacing w:val="9"/>
      <w:sz w:val="30"/>
      <w:szCs w:val="30"/>
    </w:rPr>
  </w:style>
  <w:style w:type="paragraph" w:customStyle="1" w:styleId="aa">
    <w:name w:val="중간제목"/>
    <w:qFormat/>
    <w:rsid w:val="00104F4F"/>
    <w:pPr>
      <w:widowControl w:val="0"/>
      <w:wordWrap w:val="0"/>
      <w:autoSpaceDE w:val="0"/>
      <w:autoSpaceDN w:val="0"/>
      <w:snapToGrid w:val="0"/>
      <w:spacing w:line="280" w:lineRule="auto"/>
      <w:jc w:val="both"/>
    </w:pPr>
    <w:rPr>
      <w:rFonts w:ascii="휴먼고딕" w:eastAsia="휴먼고딕" w:hAnsi="Arial Unicode MS" w:cs="휴먼고딕"/>
      <w:b/>
      <w:bCs/>
      <w:color w:val="000000"/>
      <w:spacing w:val="7"/>
      <w:sz w:val="26"/>
      <w:szCs w:val="26"/>
    </w:rPr>
  </w:style>
  <w:style w:type="paragraph" w:customStyle="1" w:styleId="ab">
    <w:name w:val="작은제목"/>
    <w:qFormat/>
    <w:rsid w:val="00104F4F"/>
    <w:pPr>
      <w:widowControl w:val="0"/>
      <w:wordWrap w:val="0"/>
      <w:autoSpaceDE w:val="0"/>
      <w:autoSpaceDN w:val="0"/>
      <w:snapToGrid w:val="0"/>
      <w:spacing w:line="280" w:lineRule="auto"/>
      <w:jc w:val="both"/>
    </w:pPr>
    <w:rPr>
      <w:rFonts w:ascii="HY중고딕" w:eastAsia="HY중고딕" w:hAnsi="Arial Unicode MS" w:cs="HY중고딕"/>
      <w:b/>
      <w:bCs/>
      <w:color w:val="000000"/>
      <w:spacing w:val="7"/>
      <w:sz w:val="24"/>
      <w:szCs w:val="24"/>
    </w:rPr>
  </w:style>
  <w:style w:type="paragraph" w:customStyle="1" w:styleId="ac">
    <w:name w:val="세부제목"/>
    <w:qFormat/>
    <w:rsid w:val="00104F4F"/>
    <w:pPr>
      <w:widowControl w:val="0"/>
      <w:wordWrap w:val="0"/>
      <w:autoSpaceDE w:val="0"/>
      <w:autoSpaceDN w:val="0"/>
      <w:snapToGrid w:val="0"/>
      <w:spacing w:line="280" w:lineRule="auto"/>
      <w:jc w:val="both"/>
    </w:pPr>
    <w:rPr>
      <w:rFonts w:ascii="HY중고딕" w:eastAsia="HY중고딕" w:hAnsi="Arial Unicode MS" w:cs="HY중고딕"/>
      <w:b/>
      <w:bCs/>
      <w:color w:val="000000"/>
      <w:spacing w:val="6"/>
      <w:sz w:val="22"/>
    </w:rPr>
  </w:style>
  <w:style w:type="paragraph" w:customStyle="1" w:styleId="ad">
    <w:name w:val="각주"/>
    <w:qFormat/>
    <w:rsid w:val="00104F4F"/>
    <w:pPr>
      <w:widowControl w:val="0"/>
      <w:wordWrap w:val="0"/>
      <w:autoSpaceDE w:val="0"/>
      <w:autoSpaceDN w:val="0"/>
      <w:snapToGrid w:val="0"/>
      <w:ind w:left="158" w:hanging="158"/>
      <w:jc w:val="both"/>
    </w:pPr>
    <w:rPr>
      <w:rFonts w:ascii="HY신명조" w:eastAsia="HY신명조" w:hAnsi="Arial Unicode MS" w:cs="HY신명조"/>
      <w:color w:val="000000"/>
      <w:spacing w:val="9"/>
      <w:sz w:val="18"/>
      <w:szCs w:val="18"/>
    </w:rPr>
  </w:style>
  <w:style w:type="paragraph" w:customStyle="1" w:styleId="ae">
    <w:name w:val="수식설명"/>
    <w:qFormat/>
    <w:rsid w:val="00104F4F"/>
    <w:pPr>
      <w:widowControl w:val="0"/>
      <w:wordWrap w:val="0"/>
      <w:autoSpaceDE w:val="0"/>
      <w:autoSpaceDN w:val="0"/>
      <w:snapToGrid w:val="0"/>
      <w:spacing w:line="280" w:lineRule="auto"/>
      <w:ind w:left="931" w:hanging="331"/>
      <w:jc w:val="both"/>
    </w:pPr>
    <w:rPr>
      <w:rFonts w:ascii="HY신명조" w:eastAsia="HY신명조" w:hAnsi="Arial Unicode MS" w:cs="HY신명조"/>
      <w:color w:val="000000"/>
      <w:spacing w:val="5"/>
      <w:sz w:val="18"/>
      <w:szCs w:val="18"/>
    </w:rPr>
  </w:style>
  <w:style w:type="paragraph" w:customStyle="1" w:styleId="af">
    <w:name w:val="표설명"/>
    <w:qFormat/>
    <w:rsid w:val="00104F4F"/>
    <w:pPr>
      <w:widowControl w:val="0"/>
      <w:wordWrap w:val="0"/>
      <w:autoSpaceDE w:val="0"/>
      <w:autoSpaceDN w:val="0"/>
      <w:snapToGrid w:val="0"/>
      <w:jc w:val="both"/>
    </w:pPr>
    <w:rPr>
      <w:rFonts w:ascii="바탕체" w:eastAsia="바탕체" w:hAnsi="Arial Unicode MS" w:cs="바탕체"/>
      <w:color w:val="000000"/>
      <w:spacing w:val="5"/>
      <w:sz w:val="18"/>
      <w:szCs w:val="18"/>
    </w:rPr>
  </w:style>
  <w:style w:type="paragraph" w:customStyle="1" w:styleId="af0">
    <w:name w:val="셀 내용"/>
    <w:qFormat/>
    <w:rsid w:val="00104F4F"/>
    <w:pPr>
      <w:widowControl w:val="0"/>
      <w:autoSpaceDE w:val="0"/>
      <w:autoSpaceDN w:val="0"/>
      <w:jc w:val="center"/>
      <w:textAlignment w:val="center"/>
    </w:pPr>
    <w:rPr>
      <w:rFonts w:ascii="HY신명조" w:eastAsia="HY신명조" w:hAnsi="Arial Unicode MS" w:cs="HY신명조"/>
      <w:color w:val="000000"/>
      <w:sz w:val="18"/>
      <w:szCs w:val="18"/>
    </w:rPr>
  </w:style>
  <w:style w:type="paragraph" w:styleId="af1">
    <w:name w:val="caption"/>
    <w:qFormat/>
    <w:rsid w:val="00104F4F"/>
    <w:pPr>
      <w:widowControl w:val="0"/>
      <w:autoSpaceDE w:val="0"/>
      <w:autoSpaceDN w:val="0"/>
      <w:snapToGrid w:val="0"/>
      <w:spacing w:before="60"/>
      <w:jc w:val="center"/>
    </w:pPr>
    <w:rPr>
      <w:rFonts w:ascii="HY중고딕" w:eastAsia="HY중고딕" w:hAnsi="Arial Unicode MS" w:cs="HY중고딕"/>
      <w:color w:val="000000"/>
      <w:spacing w:val="6"/>
      <w:sz w:val="22"/>
    </w:rPr>
  </w:style>
  <w:style w:type="paragraph" w:customStyle="1" w:styleId="af2">
    <w:name w:val="참고문헌"/>
    <w:qFormat/>
    <w:rsid w:val="00104F4F"/>
    <w:pPr>
      <w:widowControl w:val="0"/>
      <w:wordWrap w:val="0"/>
      <w:autoSpaceDE w:val="0"/>
      <w:autoSpaceDN w:val="0"/>
      <w:snapToGrid w:val="0"/>
      <w:spacing w:line="280" w:lineRule="auto"/>
      <w:ind w:left="350" w:hanging="350"/>
      <w:jc w:val="both"/>
    </w:pPr>
    <w:rPr>
      <w:rFonts w:ascii="바탕체" w:eastAsia="바탕체" w:hAnsi="Arial Unicode MS" w:cs="바탕체"/>
      <w:color w:val="000000"/>
      <w:spacing w:val="-7"/>
      <w:w w:val="97"/>
      <w:sz w:val="22"/>
    </w:rPr>
  </w:style>
  <w:style w:type="paragraph" w:customStyle="1" w:styleId="af3">
    <w:name w:val="쪽 번호"/>
    <w:qFormat/>
    <w:rsid w:val="00104F4F"/>
    <w:pPr>
      <w:widowControl w:val="0"/>
      <w:wordWrap w:val="0"/>
      <w:autoSpaceDE w:val="0"/>
      <w:autoSpaceDN w:val="0"/>
      <w:snapToGrid w:val="0"/>
      <w:spacing w:line="280" w:lineRule="auto"/>
      <w:ind w:firstLine="400"/>
      <w:jc w:val="both"/>
    </w:pPr>
    <w:rPr>
      <w:rFonts w:ascii="필기" w:eastAsia="필기" w:hAnsi="Arial Unicode MS" w:cs="필기"/>
      <w:color w:val="000000"/>
      <w:spacing w:val="6"/>
      <w:szCs w:val="20"/>
    </w:rPr>
  </w:style>
  <w:style w:type="paragraph" w:customStyle="1" w:styleId="reference">
    <w:name w:val="reference"/>
    <w:qFormat/>
    <w:rsid w:val="00104F4F"/>
    <w:pPr>
      <w:widowControl w:val="0"/>
      <w:wordWrap w:val="0"/>
      <w:autoSpaceDE w:val="0"/>
      <w:autoSpaceDN w:val="0"/>
      <w:snapToGrid w:val="0"/>
      <w:spacing w:line="280" w:lineRule="auto"/>
      <w:ind w:left="350" w:hanging="350"/>
      <w:jc w:val="both"/>
    </w:pPr>
    <w:rPr>
      <w:rFonts w:ascii="바탕체" w:eastAsia="바탕체" w:hAnsi="Arial Unicode MS" w:cs="바탕체"/>
      <w:color w:val="000000"/>
      <w:spacing w:val="6"/>
      <w:sz w:val="22"/>
    </w:rPr>
  </w:style>
  <w:style w:type="paragraph" w:styleId="af4">
    <w:name w:val="Balloon Text"/>
    <w:basedOn w:val="a"/>
    <w:link w:val="Char1"/>
    <w:uiPriority w:val="99"/>
    <w:semiHidden/>
    <w:unhideWhenUsed/>
    <w:locked/>
    <w:rsid w:val="00D35F5E"/>
    <w:rPr>
      <w:rFonts w:asciiTheme="majorHAnsi" w:eastAsiaTheme="majorEastAsia" w:hAnsiTheme="majorHAnsi" w:cstheme="majorBidi"/>
      <w:sz w:val="18"/>
      <w:szCs w:val="18"/>
    </w:rPr>
  </w:style>
  <w:style w:type="character" w:customStyle="1" w:styleId="Char1">
    <w:name w:val="풍선 도움말 텍스트 Char"/>
    <w:basedOn w:val="a0"/>
    <w:link w:val="af4"/>
    <w:uiPriority w:val="99"/>
    <w:semiHidden/>
    <w:rsid w:val="00D35F5E"/>
    <w:rPr>
      <w:rFonts w:asciiTheme="majorHAnsi" w:eastAsiaTheme="majorEastAsia" w:hAnsiTheme="majorHAnsi" w:cstheme="majorBidi"/>
      <w:sz w:val="18"/>
      <w:szCs w:val="18"/>
    </w:rPr>
  </w:style>
  <w:style w:type="paragraph" w:styleId="af5">
    <w:name w:val="Date"/>
    <w:basedOn w:val="a"/>
    <w:next w:val="a"/>
    <w:link w:val="Char2"/>
    <w:locked/>
    <w:rsid w:val="00F46AF2"/>
    <w:pPr>
      <w:jc w:val="both"/>
    </w:pPr>
    <w:rPr>
      <w:rFonts w:ascii="바탕" w:eastAsia="바탕" w:hAnsi="Times New Roman" w:cs="Times New Roman"/>
      <w:color w:val="0000FF"/>
      <w:szCs w:val="24"/>
    </w:rPr>
  </w:style>
  <w:style w:type="character" w:customStyle="1" w:styleId="Char2">
    <w:name w:val="날짜 Char"/>
    <w:basedOn w:val="a0"/>
    <w:link w:val="af5"/>
    <w:rsid w:val="00F46AF2"/>
    <w:rPr>
      <w:rFonts w:ascii="바탕" w:eastAsia="바탕" w:hAnsi="Times New Roman" w:cs="Times New Roman"/>
      <w:color w:val="0000FF"/>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9"/>
    <w:lsdException w:name="Title" w:uiPriority="35" w:qFormat="1"/>
    <w:lsdException w:name="Default Paragraph Font" w:semiHidden="0" w:uiPriority="10" w:unhideWhenUsed="0" w:qFormat="1"/>
    <w:lsdException w:name="Subtitle" w:uiPriority="1"/>
    <w:lsdException w:name="Date" w:uiPriority="0"/>
    <w:lsdException w:name="Strong" w:semiHidden="0" w:uiPriority="11" w:unhideWhenUsed="0" w:qFormat="1"/>
    <w:lsdException w:name="Emphasis" w:semiHidden="0" w:uiPriority="22" w:unhideWhenUsed="0" w:qFormat="1"/>
    <w:lsdException w:name="Table Grid" w:semiHidden="0" w:uiPriority="20" w:unhideWhenUsed="0" w:qFormat="1"/>
    <w:lsdException w:name="Placeholder Text" w:semiHidden="0" w:uiPriority="59" w:unhideWhenUsed="0"/>
    <w:lsdException w:name="No Spacing" w:unhideWhenUsed="0"/>
    <w:lsdException w:name="Light Shading" w:semiHidden="0" w:uiPriority="1" w:unhideWhenUsed="0" w:qFormat="1"/>
    <w:lsdException w:name="Light List" w:semiHidden="0" w:uiPriority="60" w:unhideWhenUsed="0"/>
    <w:lsdException w:name="Light Grid" w:semiHidden="0" w:uiPriority="61" w:unhideWhenUsed="0"/>
    <w:lsdException w:name="Medium Shading 1" w:semiHidden="0" w:uiPriority="62" w:unhideWhenUsed="0"/>
    <w:lsdException w:name="Medium Shading 2" w:semiHidden="0" w:uiPriority="63" w:unhideWhenUsed="0"/>
    <w:lsdException w:name="Medium List 1" w:semiHidden="0" w:uiPriority="64" w:unhideWhenUsed="0"/>
    <w:lsdException w:name="Medium List 2" w:semiHidden="0" w:uiPriority="65" w:unhideWhenUsed="0"/>
    <w:lsdException w:name="Medium Grid 1" w:semiHidden="0" w:uiPriority="66" w:unhideWhenUsed="0"/>
    <w:lsdException w:name="Medium Grid 2" w:semiHidden="0" w:uiPriority="67" w:unhideWhenUsed="0"/>
    <w:lsdException w:name="Medium Grid 3" w:semiHidden="0" w:uiPriority="68" w:unhideWhenUsed="0"/>
    <w:lsdException w:name="Dark List" w:semiHidden="0" w:uiPriority="69" w:unhideWhenUsed="0"/>
    <w:lsdException w:name="Colorful Shading" w:semiHidden="0" w:uiPriority="70" w:unhideWhenUsed="0"/>
    <w:lsdException w:name="Colorful List" w:semiHidden="0" w:uiPriority="71" w:unhideWhenUsed="0"/>
    <w:lsdException w:name="Colorful Grid" w:semiHidden="0" w:uiPriority="72" w:unhideWhenUsed="0"/>
    <w:lsdException w:name="Light Shading Accent 1" w:semiHidden="0" w:uiPriority="73" w:unhideWhenUsed="0"/>
    <w:lsdException w:name="Light List Accent 1" w:semiHidden="0" w:uiPriority="60" w:unhideWhenUsed="0"/>
    <w:lsdException w:name="Light Grid Accent 1" w:semiHidden="0" w:uiPriority="61" w:unhideWhenUsed="0"/>
    <w:lsdException w:name="Medium Shading 1 Accent 1" w:semiHidden="0" w:uiPriority="62" w:unhideWhenUsed="0"/>
    <w:lsdException w:name="Medium Shading 2 Accent 1" w:semiHidden="0" w:uiPriority="63" w:unhideWhenUsed="0"/>
    <w:lsdException w:name="Medium List 1 Accent 1" w:semiHidden="0" w:uiPriority="64" w:unhideWhenUsed="0"/>
    <w:lsdException w:name="Revision" w:semiHidden="0" w:uiPriority="65" w:unhideWhenUsed="0"/>
    <w:lsdException w:name="List Paragraph" w:unhideWhenUsed="0"/>
    <w:lsdException w:name="Quote" w:semiHidden="0" w:uiPriority="34" w:unhideWhenUsed="0" w:qFormat="1"/>
    <w:lsdException w:name="Intense Quote" w:semiHidden="0" w:uiPriority="29" w:unhideWhenUsed="0" w:qFormat="1"/>
    <w:lsdException w:name="Medium List 2 Accent 1" w:semiHidden="0" w:uiPriority="30" w:unhideWhenUsed="0" w:qFormat="1"/>
    <w:lsdException w:name="Medium Grid 1 Accent 1" w:semiHidden="0" w:uiPriority="66" w:unhideWhenUsed="0"/>
    <w:lsdException w:name="Medium Grid 2 Accent 1" w:semiHidden="0" w:uiPriority="67" w:unhideWhenUsed="0"/>
    <w:lsdException w:name="Medium Grid 3 Accent 1" w:semiHidden="0" w:uiPriority="68" w:unhideWhenUsed="0"/>
    <w:lsdException w:name="Dark List Accent 1" w:semiHidden="0" w:uiPriority="69" w:unhideWhenUsed="0"/>
    <w:lsdException w:name="Colorful Shading Accent 1" w:semiHidden="0" w:uiPriority="70" w:unhideWhenUsed="0"/>
    <w:lsdException w:name="Colorful List Accent 1" w:semiHidden="0" w:uiPriority="71" w:unhideWhenUsed="0"/>
    <w:lsdException w:name="Colorful Grid Accent 1" w:semiHidden="0" w:uiPriority="72" w:unhideWhenUsed="0"/>
    <w:lsdException w:name="Light Shading Accent 2" w:semiHidden="0" w:uiPriority="73" w:unhideWhenUsed="0"/>
    <w:lsdException w:name="Light List Accent 2" w:semiHidden="0" w:uiPriority="60" w:unhideWhenUsed="0"/>
    <w:lsdException w:name="Light Grid Accent 2" w:semiHidden="0" w:uiPriority="61" w:unhideWhenUsed="0"/>
    <w:lsdException w:name="Medium Shading 1 Accent 2" w:semiHidden="0" w:uiPriority="62" w:unhideWhenUsed="0"/>
    <w:lsdException w:name="Medium Shading 2 Accent 2" w:semiHidden="0" w:uiPriority="63" w:unhideWhenUsed="0"/>
    <w:lsdException w:name="Medium List 1 Accent 2" w:semiHidden="0" w:uiPriority="64" w:unhideWhenUsed="0"/>
    <w:lsdException w:name="Medium List 2 Accent 2" w:semiHidden="0" w:uiPriority="65" w:unhideWhenUsed="0"/>
    <w:lsdException w:name="Medium Grid 1 Accent 2" w:semiHidden="0" w:uiPriority="66" w:unhideWhenUsed="0"/>
    <w:lsdException w:name="Medium Grid 2 Accent 2" w:semiHidden="0" w:uiPriority="67" w:unhideWhenUsed="0"/>
    <w:lsdException w:name="Medium Grid 3 Accent 2" w:semiHidden="0" w:uiPriority="68" w:unhideWhenUsed="0"/>
    <w:lsdException w:name="Dark List Accent 2" w:semiHidden="0" w:uiPriority="69" w:unhideWhenUsed="0"/>
    <w:lsdException w:name="Colorful Shading Accent 2" w:semiHidden="0" w:uiPriority="70" w:unhideWhenUsed="0"/>
    <w:lsdException w:name="Colorful List Accent 2" w:semiHidden="0" w:uiPriority="71" w:unhideWhenUsed="0"/>
    <w:lsdException w:name="Colorful Grid Accent 2" w:semiHidden="0" w:uiPriority="72" w:unhideWhenUsed="0"/>
    <w:lsdException w:name="Light Shading Accent 3" w:semiHidden="0" w:uiPriority="73" w:unhideWhenUsed="0"/>
    <w:lsdException w:name="Light List Accent 3" w:semiHidden="0" w:uiPriority="60" w:unhideWhenUsed="0"/>
    <w:lsdException w:name="Light Grid Accent 3" w:semiHidden="0" w:uiPriority="61" w:unhideWhenUsed="0"/>
    <w:lsdException w:name="Medium Shading 1 Accent 3" w:semiHidden="0" w:uiPriority="62" w:unhideWhenUsed="0"/>
    <w:lsdException w:name="Medium Shading 2 Accent 3" w:semiHidden="0" w:uiPriority="63" w:unhideWhenUsed="0"/>
    <w:lsdException w:name="Medium List 1 Accent 3" w:semiHidden="0" w:uiPriority="64" w:unhideWhenUsed="0"/>
    <w:lsdException w:name="Medium List 2 Accent 3" w:semiHidden="0" w:uiPriority="65" w:unhideWhenUsed="0"/>
    <w:lsdException w:name="Medium Grid 1 Accent 3" w:semiHidden="0" w:uiPriority="66" w:unhideWhenUsed="0"/>
    <w:lsdException w:name="Medium Grid 2 Accent 3" w:semiHidden="0" w:uiPriority="67" w:unhideWhenUsed="0"/>
    <w:lsdException w:name="Medium Grid 3 Accent 3" w:semiHidden="0" w:uiPriority="68" w:unhideWhenUsed="0"/>
    <w:lsdException w:name="Dark List Accent 3" w:semiHidden="0" w:uiPriority="69" w:unhideWhenUsed="0"/>
    <w:lsdException w:name="Colorful Shading Accent 3" w:semiHidden="0" w:uiPriority="70" w:unhideWhenUsed="0"/>
    <w:lsdException w:name="Colorful List Accent 3" w:semiHidden="0" w:uiPriority="71" w:unhideWhenUsed="0"/>
    <w:lsdException w:name="Colorful Grid Accent 3" w:semiHidden="0" w:uiPriority="72" w:unhideWhenUsed="0"/>
    <w:lsdException w:name="Light Shading Accent 4" w:semiHidden="0" w:uiPriority="73" w:unhideWhenUsed="0"/>
    <w:lsdException w:name="Light List Accent 4" w:semiHidden="0" w:uiPriority="60" w:unhideWhenUsed="0"/>
    <w:lsdException w:name="Light Grid Accent 4" w:semiHidden="0" w:uiPriority="61" w:unhideWhenUsed="0"/>
    <w:lsdException w:name="Medium Shading 1 Accent 4" w:semiHidden="0" w:uiPriority="62" w:unhideWhenUsed="0"/>
    <w:lsdException w:name="Medium Shading 2 Accent 4" w:semiHidden="0" w:uiPriority="63" w:unhideWhenUsed="0"/>
    <w:lsdException w:name="Medium List 1 Accent 4" w:semiHidden="0" w:uiPriority="64" w:unhideWhenUsed="0"/>
    <w:lsdException w:name="Medium List 2 Accent 4" w:semiHidden="0" w:uiPriority="65" w:unhideWhenUsed="0"/>
    <w:lsdException w:name="Medium Grid 1 Accent 4" w:semiHidden="0" w:uiPriority="66" w:unhideWhenUsed="0"/>
    <w:lsdException w:name="Medium Grid 2 Accent 4" w:semiHidden="0" w:uiPriority="67" w:unhideWhenUsed="0"/>
    <w:lsdException w:name="Medium Grid 3 Accent 4" w:semiHidden="0" w:uiPriority="68" w:unhideWhenUsed="0"/>
    <w:lsdException w:name="Dark List Accent 4" w:semiHidden="0" w:uiPriority="69" w:unhideWhenUsed="0"/>
    <w:lsdException w:name="Colorful Shading Accent 4" w:semiHidden="0" w:uiPriority="70" w:unhideWhenUsed="0"/>
    <w:lsdException w:name="Colorful List Accent 4" w:semiHidden="0" w:uiPriority="71" w:unhideWhenUsed="0"/>
    <w:lsdException w:name="Colorful Grid Accent 4" w:semiHidden="0" w:uiPriority="72" w:unhideWhenUsed="0"/>
    <w:lsdException w:name="Light Shading Accent 5" w:semiHidden="0" w:uiPriority="73" w:unhideWhenUsed="0"/>
    <w:lsdException w:name="Light List Accent 5" w:semiHidden="0" w:uiPriority="60" w:unhideWhenUsed="0"/>
    <w:lsdException w:name="Light Grid Accent 5" w:semiHidden="0" w:uiPriority="61" w:unhideWhenUsed="0"/>
    <w:lsdException w:name="Medium Shading 1 Accent 5" w:semiHidden="0" w:uiPriority="62" w:unhideWhenUsed="0"/>
    <w:lsdException w:name="Medium Shading 2 Accent 5" w:semiHidden="0" w:uiPriority="63" w:unhideWhenUsed="0"/>
    <w:lsdException w:name="Medium List 1 Accent 5" w:semiHidden="0" w:uiPriority="64" w:unhideWhenUsed="0"/>
    <w:lsdException w:name="Medium List 2 Accent 5" w:semiHidden="0" w:uiPriority="65" w:unhideWhenUsed="0"/>
    <w:lsdException w:name="Medium Grid 1 Accent 5" w:semiHidden="0" w:uiPriority="66" w:unhideWhenUsed="0"/>
    <w:lsdException w:name="Medium Grid 2 Accent 5" w:semiHidden="0" w:uiPriority="67" w:unhideWhenUsed="0"/>
    <w:lsdException w:name="Medium Grid 3 Accent 5" w:semiHidden="0" w:uiPriority="68" w:unhideWhenUsed="0"/>
    <w:lsdException w:name="Dark List Accent 5" w:semiHidden="0" w:uiPriority="69" w:unhideWhenUsed="0"/>
    <w:lsdException w:name="Colorful Shading Accent 5" w:semiHidden="0" w:uiPriority="70" w:unhideWhenUsed="0"/>
    <w:lsdException w:name="Colorful List Accent 5" w:semiHidden="0" w:uiPriority="71" w:unhideWhenUsed="0"/>
    <w:lsdException w:name="Colorful Grid Accent 5" w:semiHidden="0" w:uiPriority="72" w:unhideWhenUsed="0"/>
    <w:lsdException w:name="Light Shading Accent 6" w:semiHidden="0" w:uiPriority="73" w:unhideWhenUsed="0"/>
    <w:lsdException w:name="Light List Accent 6" w:semiHidden="0" w:uiPriority="60" w:unhideWhenUsed="0"/>
    <w:lsdException w:name="Light Grid Accent 6" w:semiHidden="0" w:uiPriority="61" w:unhideWhenUsed="0"/>
    <w:lsdException w:name="Medium Shading 1 Accent 6" w:semiHidden="0" w:uiPriority="62" w:unhideWhenUsed="0"/>
    <w:lsdException w:name="Medium Shading 2 Accent 6" w:semiHidden="0" w:uiPriority="63" w:unhideWhenUsed="0"/>
    <w:lsdException w:name="Medium List 1 Accent 6" w:semiHidden="0" w:uiPriority="64" w:unhideWhenUsed="0"/>
    <w:lsdException w:name="Medium List 2 Accent 6" w:semiHidden="0" w:uiPriority="65" w:unhideWhenUsed="0"/>
    <w:lsdException w:name="Medium Grid 1 Accent 6" w:semiHidden="0" w:uiPriority="66" w:unhideWhenUsed="0"/>
    <w:lsdException w:name="Medium Grid 2 Accent 6" w:semiHidden="0" w:uiPriority="67" w:unhideWhenUsed="0"/>
    <w:lsdException w:name="Medium Grid 3 Accent 6" w:semiHidden="0" w:uiPriority="68" w:unhideWhenUsed="0"/>
    <w:lsdException w:name="Dark List Accent 6" w:semiHidden="0" w:uiPriority="69" w:unhideWhenUsed="0"/>
    <w:lsdException w:name="Colorful Shading Accent 6" w:semiHidden="0" w:uiPriority="70" w:unhideWhenUsed="0"/>
    <w:lsdException w:name="Colorful List Accent 6" w:semiHidden="0" w:uiPriority="71" w:unhideWhenUsed="0"/>
    <w:lsdException w:name="Colorful Grid Accent 6" w:semiHidden="0" w:uiPriority="72" w:unhideWhenUsed="0"/>
    <w:lsdException w:name="Subtle Emphasis" w:semiHidden="0" w:uiPriority="73" w:unhideWhenUsed="0"/>
    <w:lsdException w:name="Intense Emphasis" w:semiHidden="0" w:uiPriority="19" w:unhideWhenUsed="0" w:qFormat="1"/>
    <w:lsdException w:name="Subtle Reference" w:semiHidden="0" w:uiPriority="21" w:unhideWhenUsed="0" w:qFormat="1"/>
    <w:lsdException w:name="Intense Reference" w:semiHidden="0" w:uiPriority="31" w:unhideWhenUsed="0" w:qFormat="1"/>
    <w:lsdException w:name="Book Title" w:semiHidden="0" w:uiPriority="32" w:unhideWhenUsed="0" w:qFormat="1"/>
    <w:lsdException w:name="Bibliography" w:semiHidden="0" w:uiPriority="33" w:unhideWhenUsed="0" w:qFormat="1"/>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pPr>
      <w:tabs>
        <w:tab w:val="center" w:pos="4513"/>
        <w:tab w:val="right" w:pos="9026"/>
      </w:tabs>
      <w:snapToGrid w:val="0"/>
    </w:pPr>
  </w:style>
  <w:style w:type="character" w:customStyle="1" w:styleId="Char">
    <w:name w:val="머리글 Char"/>
    <w:basedOn w:val="a0"/>
    <w:link w:val="a3"/>
    <w:uiPriority w:val="99"/>
  </w:style>
  <w:style w:type="paragraph" w:styleId="a4">
    <w:name w:val="footer"/>
    <w:basedOn w:val="a"/>
    <w:link w:val="Char0"/>
    <w:uiPriority w:val="99"/>
    <w:unhideWhenUsed/>
    <w:pPr>
      <w:tabs>
        <w:tab w:val="center" w:pos="4513"/>
        <w:tab w:val="right" w:pos="9026"/>
      </w:tabs>
      <w:snapToGrid w:val="0"/>
    </w:pPr>
  </w:style>
  <w:style w:type="character" w:customStyle="1" w:styleId="Char0">
    <w:name w:val="바닥글 Char"/>
    <w:basedOn w:val="a0"/>
    <w:link w:val="a4"/>
    <w:uiPriority w:val="99"/>
  </w:style>
  <w:style w:type="character" w:styleId="a5">
    <w:name w:val="Hyperlink"/>
    <w:basedOn w:val="a0"/>
    <w:uiPriority w:val="99"/>
    <w:unhideWhenUsed/>
    <w:rPr>
      <w:color w:val="0000FF" w:themeColor="hyperlink"/>
      <w:u w:val="single"/>
    </w:rPr>
  </w:style>
  <w:style w:type="character" w:styleId="a6">
    <w:name w:val="footnote reference"/>
    <w:basedOn w:val="a0"/>
    <w:uiPriority w:val="99"/>
    <w:semiHidden/>
    <w:unhideWhenUsed/>
    <w:rPr>
      <w:vertAlign w:val="superscript"/>
    </w:rPr>
  </w:style>
  <w:style w:type="character" w:styleId="a7">
    <w:name w:val="endnote reference"/>
    <w:basedOn w:val="a0"/>
    <w:uiPriority w:val="99"/>
    <w:semiHidden/>
    <w:unhideWhenUsed/>
    <w:rPr>
      <w:vertAlign w:val="superscript"/>
    </w:rPr>
  </w:style>
  <w:style w:type="paragraph" w:customStyle="1" w:styleId="a8">
    <w:name w:val="바탕글"/>
    <w:qFormat/>
    <w:pPr>
      <w:widowControl w:val="0"/>
      <w:wordWrap w:val="0"/>
      <w:autoSpaceDE w:val="0"/>
      <w:autoSpaceDN w:val="0"/>
      <w:snapToGrid w:val="0"/>
      <w:spacing w:line="249" w:lineRule="auto"/>
      <w:ind w:firstLine="200"/>
      <w:jc w:val="both"/>
    </w:pPr>
    <w:rPr>
      <w:rFonts w:ascii="HY신명조" w:eastAsia="HY신명조" w:hAnsi="Arial Unicode MS" w:cs="HY신명조"/>
      <w:color w:val="000000"/>
      <w:spacing w:val="6"/>
      <w:sz w:val="22"/>
    </w:rPr>
  </w:style>
  <w:style w:type="paragraph" w:customStyle="1" w:styleId="a9">
    <w:name w:val="큰제목"/>
    <w:qFormat/>
    <w:pPr>
      <w:widowControl w:val="0"/>
      <w:autoSpaceDE w:val="0"/>
      <w:autoSpaceDN w:val="0"/>
      <w:snapToGrid w:val="0"/>
      <w:spacing w:line="280" w:lineRule="auto"/>
      <w:jc w:val="center"/>
    </w:pPr>
    <w:rPr>
      <w:rFonts w:ascii="휴먼고딕" w:eastAsia="휴먼고딕" w:hAnsi="Arial Unicode MS" w:cs="휴먼고딕"/>
      <w:b/>
      <w:bCs/>
      <w:color w:val="000000"/>
      <w:spacing w:val="9"/>
      <w:sz w:val="30"/>
      <w:szCs w:val="30"/>
    </w:rPr>
  </w:style>
  <w:style w:type="paragraph" w:customStyle="1" w:styleId="aa">
    <w:name w:val="중간제목"/>
    <w:qFormat/>
    <w:pPr>
      <w:widowControl w:val="0"/>
      <w:wordWrap w:val="0"/>
      <w:autoSpaceDE w:val="0"/>
      <w:autoSpaceDN w:val="0"/>
      <w:snapToGrid w:val="0"/>
      <w:spacing w:line="280" w:lineRule="auto"/>
      <w:jc w:val="both"/>
    </w:pPr>
    <w:rPr>
      <w:rFonts w:ascii="휴먼고딕" w:eastAsia="휴먼고딕" w:hAnsi="Arial Unicode MS" w:cs="휴먼고딕"/>
      <w:b/>
      <w:bCs/>
      <w:color w:val="000000"/>
      <w:spacing w:val="7"/>
      <w:sz w:val="26"/>
      <w:szCs w:val="26"/>
    </w:rPr>
  </w:style>
  <w:style w:type="paragraph" w:customStyle="1" w:styleId="ab">
    <w:name w:val="작은제목"/>
    <w:qFormat/>
    <w:pPr>
      <w:widowControl w:val="0"/>
      <w:wordWrap w:val="0"/>
      <w:autoSpaceDE w:val="0"/>
      <w:autoSpaceDN w:val="0"/>
      <w:snapToGrid w:val="0"/>
      <w:spacing w:line="280" w:lineRule="auto"/>
      <w:jc w:val="both"/>
    </w:pPr>
    <w:rPr>
      <w:rFonts w:ascii="HY중고딕" w:eastAsia="HY중고딕" w:hAnsi="Arial Unicode MS" w:cs="HY중고딕"/>
      <w:b/>
      <w:bCs/>
      <w:color w:val="000000"/>
      <w:spacing w:val="7"/>
      <w:sz w:val="24"/>
      <w:szCs w:val="24"/>
    </w:rPr>
  </w:style>
  <w:style w:type="paragraph" w:customStyle="1" w:styleId="ac">
    <w:name w:val="세부제목"/>
    <w:qFormat/>
    <w:pPr>
      <w:widowControl w:val="0"/>
      <w:wordWrap w:val="0"/>
      <w:autoSpaceDE w:val="0"/>
      <w:autoSpaceDN w:val="0"/>
      <w:snapToGrid w:val="0"/>
      <w:spacing w:line="280" w:lineRule="auto"/>
      <w:jc w:val="both"/>
    </w:pPr>
    <w:rPr>
      <w:rFonts w:ascii="HY중고딕" w:eastAsia="HY중고딕" w:hAnsi="Arial Unicode MS" w:cs="HY중고딕"/>
      <w:b/>
      <w:bCs/>
      <w:color w:val="000000"/>
      <w:spacing w:val="6"/>
      <w:sz w:val="22"/>
    </w:rPr>
  </w:style>
  <w:style w:type="paragraph" w:customStyle="1" w:styleId="ad">
    <w:name w:val="각주"/>
    <w:qFormat/>
    <w:pPr>
      <w:widowControl w:val="0"/>
      <w:wordWrap w:val="0"/>
      <w:autoSpaceDE w:val="0"/>
      <w:autoSpaceDN w:val="0"/>
      <w:snapToGrid w:val="0"/>
      <w:ind w:left="158" w:hanging="158"/>
      <w:jc w:val="both"/>
    </w:pPr>
    <w:rPr>
      <w:rFonts w:ascii="HY신명조" w:eastAsia="HY신명조" w:hAnsi="Arial Unicode MS" w:cs="HY신명조"/>
      <w:color w:val="000000"/>
      <w:spacing w:val="9"/>
      <w:sz w:val="18"/>
      <w:szCs w:val="18"/>
    </w:rPr>
  </w:style>
  <w:style w:type="paragraph" w:customStyle="1" w:styleId="ae">
    <w:name w:val="수식설명"/>
    <w:qFormat/>
    <w:pPr>
      <w:widowControl w:val="0"/>
      <w:wordWrap w:val="0"/>
      <w:autoSpaceDE w:val="0"/>
      <w:autoSpaceDN w:val="0"/>
      <w:snapToGrid w:val="0"/>
      <w:spacing w:line="280" w:lineRule="auto"/>
      <w:ind w:left="931" w:hanging="331"/>
      <w:jc w:val="both"/>
    </w:pPr>
    <w:rPr>
      <w:rFonts w:ascii="HY신명조" w:eastAsia="HY신명조" w:hAnsi="Arial Unicode MS" w:cs="HY신명조"/>
      <w:color w:val="000000"/>
      <w:spacing w:val="5"/>
      <w:sz w:val="18"/>
      <w:szCs w:val="18"/>
    </w:rPr>
  </w:style>
  <w:style w:type="paragraph" w:customStyle="1" w:styleId="af">
    <w:name w:val="표설명"/>
    <w:qFormat/>
    <w:pPr>
      <w:widowControl w:val="0"/>
      <w:wordWrap w:val="0"/>
      <w:autoSpaceDE w:val="0"/>
      <w:autoSpaceDN w:val="0"/>
      <w:snapToGrid w:val="0"/>
      <w:jc w:val="both"/>
    </w:pPr>
    <w:rPr>
      <w:rFonts w:ascii="바탕체" w:eastAsia="바탕체" w:hAnsi="Arial Unicode MS" w:cs="바탕체"/>
      <w:color w:val="000000"/>
      <w:spacing w:val="5"/>
      <w:sz w:val="18"/>
      <w:szCs w:val="18"/>
    </w:rPr>
  </w:style>
  <w:style w:type="paragraph" w:customStyle="1" w:styleId="af0">
    <w:name w:val="셀 내용"/>
    <w:qFormat/>
    <w:pPr>
      <w:widowControl w:val="0"/>
      <w:autoSpaceDE w:val="0"/>
      <w:autoSpaceDN w:val="0"/>
      <w:jc w:val="center"/>
      <w:textAlignment w:val="center"/>
    </w:pPr>
    <w:rPr>
      <w:rFonts w:ascii="HY신명조" w:eastAsia="HY신명조" w:hAnsi="Arial Unicode MS" w:cs="HY신명조"/>
      <w:color w:val="000000"/>
      <w:sz w:val="18"/>
      <w:szCs w:val="18"/>
    </w:rPr>
  </w:style>
  <w:style w:type="paragraph" w:styleId="af1">
    <w:name w:val="caption"/>
    <w:qFormat/>
    <w:pPr>
      <w:widowControl w:val="0"/>
      <w:autoSpaceDE w:val="0"/>
      <w:autoSpaceDN w:val="0"/>
      <w:snapToGrid w:val="0"/>
      <w:spacing w:before="60"/>
      <w:jc w:val="center"/>
    </w:pPr>
    <w:rPr>
      <w:rFonts w:ascii="HY중고딕" w:eastAsia="HY중고딕" w:hAnsi="Arial Unicode MS" w:cs="HY중고딕"/>
      <w:color w:val="000000"/>
      <w:spacing w:val="6"/>
      <w:sz w:val="22"/>
    </w:rPr>
  </w:style>
  <w:style w:type="paragraph" w:customStyle="1" w:styleId="af2">
    <w:name w:val="참고문헌"/>
    <w:qFormat/>
    <w:pPr>
      <w:widowControl w:val="0"/>
      <w:wordWrap w:val="0"/>
      <w:autoSpaceDE w:val="0"/>
      <w:autoSpaceDN w:val="0"/>
      <w:snapToGrid w:val="0"/>
      <w:spacing w:line="280" w:lineRule="auto"/>
      <w:ind w:left="350" w:hanging="350"/>
      <w:jc w:val="both"/>
    </w:pPr>
    <w:rPr>
      <w:rFonts w:ascii="바탕체" w:eastAsia="바탕체" w:hAnsi="Arial Unicode MS" w:cs="바탕체"/>
      <w:color w:val="000000"/>
      <w:spacing w:val="-7"/>
      <w:w w:val="97"/>
      <w:sz w:val="22"/>
    </w:rPr>
  </w:style>
  <w:style w:type="paragraph" w:customStyle="1" w:styleId="af3">
    <w:name w:val="쪽 번호"/>
    <w:qFormat/>
    <w:pPr>
      <w:widowControl w:val="0"/>
      <w:wordWrap w:val="0"/>
      <w:autoSpaceDE w:val="0"/>
      <w:autoSpaceDN w:val="0"/>
      <w:snapToGrid w:val="0"/>
      <w:spacing w:line="280" w:lineRule="auto"/>
      <w:ind w:firstLine="400"/>
      <w:jc w:val="both"/>
    </w:pPr>
    <w:rPr>
      <w:rFonts w:ascii="필기" w:eastAsia="필기" w:hAnsi="Arial Unicode MS" w:cs="필기"/>
      <w:color w:val="000000"/>
      <w:spacing w:val="6"/>
      <w:szCs w:val="20"/>
    </w:rPr>
  </w:style>
  <w:style w:type="paragraph" w:customStyle="1" w:styleId="reference">
    <w:name w:val="reference"/>
    <w:qFormat/>
    <w:pPr>
      <w:widowControl w:val="0"/>
      <w:wordWrap w:val="0"/>
      <w:autoSpaceDE w:val="0"/>
      <w:autoSpaceDN w:val="0"/>
      <w:snapToGrid w:val="0"/>
      <w:spacing w:line="280" w:lineRule="auto"/>
      <w:ind w:left="350" w:hanging="350"/>
      <w:jc w:val="both"/>
    </w:pPr>
    <w:rPr>
      <w:rFonts w:ascii="바탕체" w:eastAsia="바탕체" w:hAnsi="Arial Unicode MS" w:cs="바탕체"/>
      <w:color w:val="000000"/>
      <w:spacing w:val="6"/>
      <w:sz w:val="22"/>
    </w:rPr>
  </w:style>
  <w:style w:type="paragraph" w:styleId="af4">
    <w:name w:val="Balloon Text"/>
    <w:basedOn w:val="a"/>
    <w:link w:val="Char1"/>
    <w:uiPriority w:val="99"/>
    <w:semiHidden/>
    <w:unhideWhenUsed/>
    <w:locked/>
    <w:rsid w:val="00D35F5E"/>
    <w:rPr>
      <w:rFonts w:asciiTheme="majorHAnsi" w:eastAsiaTheme="majorEastAsia" w:hAnsiTheme="majorHAnsi" w:cstheme="majorBidi"/>
      <w:sz w:val="18"/>
      <w:szCs w:val="18"/>
    </w:rPr>
  </w:style>
  <w:style w:type="character" w:customStyle="1" w:styleId="Char1">
    <w:name w:val="풍선 도움말 텍스트 Char"/>
    <w:basedOn w:val="a0"/>
    <w:link w:val="af4"/>
    <w:uiPriority w:val="99"/>
    <w:semiHidden/>
    <w:rsid w:val="00D35F5E"/>
    <w:rPr>
      <w:rFonts w:asciiTheme="majorHAnsi" w:eastAsiaTheme="majorEastAsia" w:hAnsiTheme="majorHAnsi" w:cstheme="majorBidi"/>
      <w:sz w:val="18"/>
      <w:szCs w:val="18"/>
    </w:rPr>
  </w:style>
  <w:style w:type="paragraph" w:styleId="af5">
    <w:name w:val="Date"/>
    <w:basedOn w:val="a"/>
    <w:next w:val="a"/>
    <w:link w:val="Char2"/>
    <w:locked/>
    <w:rsid w:val="00F46AF2"/>
    <w:pPr>
      <w:jc w:val="both"/>
    </w:pPr>
    <w:rPr>
      <w:rFonts w:ascii="바탕" w:eastAsia="바탕" w:hAnsi="Times New Roman" w:cs="Times New Roman"/>
      <w:color w:val="0000FF"/>
      <w:szCs w:val="24"/>
    </w:rPr>
  </w:style>
  <w:style w:type="character" w:customStyle="1" w:styleId="Char2">
    <w:name w:val="날짜 Char"/>
    <w:basedOn w:val="a0"/>
    <w:link w:val="af5"/>
    <w:rsid w:val="00F46AF2"/>
    <w:rPr>
      <w:rFonts w:ascii="바탕" w:eastAsia="바탕" w:hAnsi="Times New Roman" w:cs="Times New Roman"/>
      <w:color w:val="0000F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76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mcho@chonnam.ac.kr" TargetMode="External"/><Relationship Id="rId13" Type="http://schemas.openxmlformats.org/officeDocument/2006/relationships/image" Target="media/image4.png"/><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rx.co.kr" TargetMode="External"/><Relationship Id="rId14" Type="http://schemas.openxmlformats.org/officeDocument/2006/relationships/image" Target="media/image5.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43</Pages>
  <Words>10653</Words>
  <Characters>60726</Characters>
  <Application>Microsoft Office Word</Application>
  <DocSecurity>0</DocSecurity>
  <Lines>506</Lines>
  <Paragraphs>142</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71237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2013-04-14T20:26:00Z</dcterms:created>
  <dcterms:modified xsi:type="dcterms:W3CDTF">2013-04-14T20:37:00Z</dcterms:modified>
</cp:coreProperties>
</file>