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7D06" w:rsidRDefault="002C7D06" w:rsidP="002C7D06">
      <w:pPr>
        <w:rPr>
          <w:b/>
        </w:rPr>
      </w:pPr>
    </w:p>
    <w:p w:rsidR="00BD7D2A" w:rsidRDefault="002C7D06" w:rsidP="00BD7D2A">
      <w:pPr>
        <w:jc w:val="center"/>
        <w:rPr>
          <w:b/>
          <w:sz w:val="32"/>
        </w:rPr>
      </w:pPr>
      <w:r w:rsidRPr="002C7D06">
        <w:rPr>
          <w:b/>
          <w:sz w:val="32"/>
        </w:rPr>
        <w:t>기관·외국인투자자의 KOSPI 200 옵션거래</w:t>
      </w:r>
      <w:r w:rsidR="00BD7D2A">
        <w:rPr>
          <w:rFonts w:hint="eastAsia"/>
          <w:b/>
          <w:sz w:val="32"/>
        </w:rPr>
        <w:t xml:space="preserve">와 </w:t>
      </w:r>
    </w:p>
    <w:p w:rsidR="002C7D06" w:rsidRPr="00BD7D2A" w:rsidRDefault="00BD7D2A" w:rsidP="00BD7D2A">
      <w:pPr>
        <w:jc w:val="center"/>
        <w:rPr>
          <w:b/>
          <w:sz w:val="32"/>
          <w:vertAlign w:val="superscript"/>
        </w:rPr>
      </w:pPr>
      <w:r>
        <w:rPr>
          <w:rFonts w:hint="eastAsia"/>
          <w:b/>
          <w:sz w:val="32"/>
        </w:rPr>
        <w:t>내재변동성 변화</w:t>
      </w:r>
    </w:p>
    <w:p w:rsidR="00E05708" w:rsidRDefault="00E05708"/>
    <w:p w:rsidR="002C7D06" w:rsidRDefault="002C7D06"/>
    <w:p w:rsidR="002C7D06" w:rsidRPr="002C7D06" w:rsidRDefault="002C7D06" w:rsidP="002C7D06">
      <w:pPr>
        <w:jc w:val="center"/>
        <w:rPr>
          <w:b/>
        </w:rPr>
      </w:pPr>
      <w:r w:rsidRPr="002C7D06">
        <w:rPr>
          <w:b/>
        </w:rPr>
        <w:t>Abstract</w:t>
      </w:r>
    </w:p>
    <w:p w:rsidR="002C7D06" w:rsidRDefault="00475A54">
      <w:r>
        <w:rPr>
          <w:rFonts w:hint="eastAsia"/>
        </w:rPr>
        <w:t>본 연구는 KOSPI 200 옵션시장에서 기관투자자의 거래행태가 변동성</w:t>
      </w:r>
      <w:r w:rsidR="0007179F">
        <w:rPr>
          <w:rFonts w:hint="eastAsia"/>
        </w:rPr>
        <w:t>변화와 어떠한 관련성을 가지는지 그리고</w:t>
      </w:r>
      <w:r>
        <w:rPr>
          <w:rFonts w:hint="eastAsia"/>
        </w:rPr>
        <w:t xml:space="preserve"> </w:t>
      </w:r>
      <w:r w:rsidR="0007179F">
        <w:rPr>
          <w:rFonts w:hint="eastAsia"/>
        </w:rPr>
        <w:t xml:space="preserve">각 기관투자자가 언제 변동성 거래를 수행하는지를 분석하였다. </w:t>
      </w:r>
      <w:r w:rsidR="002606D1">
        <w:rPr>
          <w:rFonts w:hint="eastAsia"/>
        </w:rPr>
        <w:t xml:space="preserve">전체 </w:t>
      </w:r>
      <w:r>
        <w:rPr>
          <w:rFonts w:hint="eastAsia"/>
        </w:rPr>
        <w:t>기관투자자는 국내기관투자자와 외국인</w:t>
      </w:r>
      <w:r w:rsidR="009E0AF3">
        <w:rPr>
          <w:rFonts w:hint="eastAsia"/>
        </w:rPr>
        <w:t>기관</w:t>
      </w:r>
      <w:r>
        <w:rPr>
          <w:rFonts w:hint="eastAsia"/>
        </w:rPr>
        <w:t xml:space="preserve">투자자로 구분하고, 각 거래주체의 거래강도는 옵션의 </w:t>
      </w:r>
      <w:proofErr w:type="spellStart"/>
      <w:r>
        <w:rPr>
          <w:rFonts w:hint="eastAsia"/>
        </w:rPr>
        <w:t>매수량과</w:t>
      </w:r>
      <w:proofErr w:type="spellEnd"/>
      <w:r>
        <w:rPr>
          <w:rFonts w:hint="eastAsia"/>
        </w:rPr>
        <w:t xml:space="preserve"> </w:t>
      </w:r>
      <w:proofErr w:type="spellStart"/>
      <w:r>
        <w:rPr>
          <w:rFonts w:hint="eastAsia"/>
        </w:rPr>
        <w:t>매도량의</w:t>
      </w:r>
      <w:proofErr w:type="spellEnd"/>
      <w:r>
        <w:rPr>
          <w:rFonts w:hint="eastAsia"/>
        </w:rPr>
        <w:t xml:space="preserve"> 차이로 정의하였다. 전체 국내기관투자자의 거래행위는 </w:t>
      </w:r>
      <w:proofErr w:type="spellStart"/>
      <w:r>
        <w:rPr>
          <w:rFonts w:hint="eastAsia"/>
        </w:rPr>
        <w:t>동시점의</w:t>
      </w:r>
      <w:proofErr w:type="spellEnd"/>
      <w:r>
        <w:rPr>
          <w:rFonts w:hint="eastAsia"/>
        </w:rPr>
        <w:t xml:space="preserve"> </w:t>
      </w:r>
      <w:r w:rsidR="0007179F">
        <w:rPr>
          <w:rFonts w:hint="eastAsia"/>
        </w:rPr>
        <w:t>변동성변화와</w:t>
      </w:r>
      <w:r>
        <w:rPr>
          <w:rFonts w:hint="eastAsia"/>
        </w:rPr>
        <w:t xml:space="preserve"> 유의한 </w:t>
      </w:r>
      <w:r w:rsidR="0007179F">
        <w:rPr>
          <w:rFonts w:hint="eastAsia"/>
        </w:rPr>
        <w:t>관련성을 찾기 어려웠으나</w:t>
      </w:r>
      <w:r>
        <w:rPr>
          <w:rFonts w:hint="eastAsia"/>
        </w:rPr>
        <w:t>, 외국인</w:t>
      </w:r>
      <w:r w:rsidR="009E0AF3">
        <w:rPr>
          <w:rFonts w:hint="eastAsia"/>
        </w:rPr>
        <w:t>기관</w:t>
      </w:r>
      <w:r>
        <w:rPr>
          <w:rFonts w:hint="eastAsia"/>
        </w:rPr>
        <w:t xml:space="preserve">투자자의 경우 옵션매수가 </w:t>
      </w:r>
      <w:proofErr w:type="spellStart"/>
      <w:r>
        <w:rPr>
          <w:rFonts w:hint="eastAsia"/>
        </w:rPr>
        <w:t>동시점의</w:t>
      </w:r>
      <w:proofErr w:type="spellEnd"/>
      <w:r>
        <w:rPr>
          <w:rFonts w:hint="eastAsia"/>
        </w:rPr>
        <w:t xml:space="preserve"> 변동성 </w:t>
      </w:r>
      <w:r w:rsidR="0007179F">
        <w:rPr>
          <w:rFonts w:hint="eastAsia"/>
        </w:rPr>
        <w:t>하락과 관계되며,</w:t>
      </w:r>
      <w:r>
        <w:rPr>
          <w:rFonts w:hint="eastAsia"/>
        </w:rPr>
        <w:t xml:space="preserve"> 옵션매도는 변동성의 상승</w:t>
      </w:r>
      <w:r w:rsidR="0007179F">
        <w:rPr>
          <w:rFonts w:hint="eastAsia"/>
        </w:rPr>
        <w:t>과 관계되었다</w:t>
      </w:r>
      <w:r>
        <w:rPr>
          <w:rFonts w:hint="eastAsia"/>
        </w:rPr>
        <w:t xml:space="preserve">. 이는 외국인투자자가 </w:t>
      </w:r>
      <w:r w:rsidR="002606D1">
        <w:rPr>
          <w:rFonts w:hint="eastAsia"/>
        </w:rPr>
        <w:t>변동성을</w:t>
      </w:r>
      <w:r>
        <w:rPr>
          <w:rFonts w:hint="eastAsia"/>
        </w:rPr>
        <w:t xml:space="preserve"> 저가매수</w:t>
      </w:r>
      <w:r w:rsidR="002606D1">
        <w:rPr>
          <w:rFonts w:hint="eastAsia"/>
        </w:rPr>
        <w:t xml:space="preserve"> 및</w:t>
      </w:r>
      <w:r>
        <w:rPr>
          <w:rFonts w:hint="eastAsia"/>
        </w:rPr>
        <w:t xml:space="preserve"> 고가매도 </w:t>
      </w:r>
      <w:r w:rsidR="002606D1">
        <w:rPr>
          <w:rFonts w:hint="eastAsia"/>
        </w:rPr>
        <w:t xml:space="preserve">한다는 것을 </w:t>
      </w:r>
      <w:r>
        <w:rPr>
          <w:rFonts w:hint="eastAsia"/>
        </w:rPr>
        <w:t xml:space="preserve">의미한다. 두 거래주체의 옵션거래 전후 변동성의 변화를 살펴보면, 국내기관투자자의 경우 유의한 변동성 변화를 확인하지 못한 반면, 외국인투자자는 </w:t>
      </w:r>
      <w:r w:rsidR="002606D1">
        <w:rPr>
          <w:rFonts w:hint="eastAsia"/>
        </w:rPr>
        <w:t xml:space="preserve">변동성 하락 시 변동성을 매수하고 이후 변동성이 상승한 후 변동성을 매도하는 것으로 나타났다. 이러한 변동성의 변화에 따르면 외국인투자자는 변동성거래에 대한 정보거래자라는 가설을 지지하며, 옵션거래에서 상당한 이익을 거두고 있다는 사실과도 부합한다. 이 밖에 </w:t>
      </w:r>
      <w:r>
        <w:rPr>
          <w:rFonts w:hint="eastAsia"/>
        </w:rPr>
        <w:t>국내기관투자자</w:t>
      </w:r>
      <w:r w:rsidR="0007179F">
        <w:rPr>
          <w:rFonts w:hint="eastAsia"/>
        </w:rPr>
        <w:t xml:space="preserve">의 거래가 변동성과 관련성이 나타나지 않는 현상을 설명하기 위해 </w:t>
      </w:r>
      <w:r w:rsidR="009E0AF3">
        <w:rPr>
          <w:rFonts w:hint="eastAsia"/>
        </w:rPr>
        <w:t>국내</w:t>
      </w:r>
      <w:r w:rsidR="0007179F">
        <w:rPr>
          <w:rFonts w:hint="eastAsia"/>
        </w:rPr>
        <w:t>기관투자자를 증권회사와 투자회사로 구분한 결과, 투자회사의 옵션매도거래는 변동성하락과 관련되어 있으며, 이후</w:t>
      </w:r>
      <w:r w:rsidR="002606D1">
        <w:rPr>
          <w:rFonts w:hint="eastAsia"/>
        </w:rPr>
        <w:t xml:space="preserve"> 변동성 상승하였다. 즉, 국내투자회사는 최소한 변동성거래 측면에서 정보적 우위를 가지고 있다고 보기 어렵다. </w:t>
      </w:r>
      <w:r w:rsidR="0007179F">
        <w:rPr>
          <w:rFonts w:hint="eastAsia"/>
        </w:rPr>
        <w:t xml:space="preserve">위 결과는 거래량 효과 및 실현변동성 변화를 고려한 이후에도 여전히 유효하였다. </w:t>
      </w:r>
    </w:p>
    <w:p w:rsidR="002C7D06" w:rsidRDefault="002C7D06"/>
    <w:p w:rsidR="002C7D06" w:rsidRPr="002C7D06" w:rsidRDefault="002C7D06" w:rsidP="002C7D06">
      <w:r w:rsidRPr="002C7D06">
        <w:rPr>
          <w:b/>
        </w:rPr>
        <w:t>JEL Classification</w:t>
      </w:r>
      <w:r w:rsidRPr="002C7D06">
        <w:t>: C13, C58, G13</w:t>
      </w:r>
    </w:p>
    <w:p w:rsidR="002C7D06" w:rsidRPr="002C7D06" w:rsidRDefault="002C7D06" w:rsidP="002C7D06">
      <w:r w:rsidRPr="002C7D06">
        <w:rPr>
          <w:b/>
        </w:rPr>
        <w:t>Keywords:</w:t>
      </w:r>
      <w:r w:rsidRPr="002C7D06">
        <w:t xml:space="preserve"> 기관투자자, 변동성 거래, KOSPI 200 지수옵션, VKOSPI200 지수</w:t>
      </w:r>
    </w:p>
    <w:p w:rsidR="002C7D06" w:rsidRPr="002C7D06" w:rsidRDefault="002C7D06" w:rsidP="002C7D06">
      <w:pPr>
        <w:rPr>
          <w:b/>
        </w:rPr>
        <w:sectPr w:rsidR="002C7D06" w:rsidRPr="002C7D06">
          <w:footerReference w:type="default" r:id="rId8"/>
          <w:pgSz w:w="11906" w:h="16838"/>
          <w:pgMar w:top="1701" w:right="1440" w:bottom="1440" w:left="1440" w:header="851" w:footer="992" w:gutter="0"/>
          <w:cols w:space="425"/>
          <w:docGrid w:linePitch="360"/>
        </w:sectPr>
      </w:pPr>
    </w:p>
    <w:p w:rsidR="002C7D06" w:rsidRPr="002C7D06" w:rsidRDefault="002C7D06" w:rsidP="00CF6042">
      <w:pPr>
        <w:numPr>
          <w:ilvl w:val="0"/>
          <w:numId w:val="1"/>
        </w:numPr>
        <w:spacing w:line="276" w:lineRule="auto"/>
        <w:rPr>
          <w:b/>
          <w:sz w:val="28"/>
        </w:rPr>
      </w:pPr>
      <w:r w:rsidRPr="002C7D06">
        <w:rPr>
          <w:b/>
          <w:sz w:val="28"/>
        </w:rPr>
        <w:lastRenderedPageBreak/>
        <w:t>서론</w:t>
      </w:r>
    </w:p>
    <w:p w:rsidR="002C7D06" w:rsidRDefault="00CF6042" w:rsidP="00CF6042">
      <w:pPr>
        <w:spacing w:line="276" w:lineRule="auto"/>
        <w:ind w:firstLineChars="100" w:firstLine="200"/>
      </w:pPr>
      <w:r>
        <w:rPr>
          <w:rFonts w:hint="eastAsia"/>
        </w:rPr>
        <w:t xml:space="preserve">재무경제학에서 </w:t>
      </w:r>
      <w:r w:rsidR="00E3687C">
        <w:rPr>
          <w:rFonts w:hint="eastAsia"/>
        </w:rPr>
        <w:t>기관투자자는 개인투자자에 비해 우수한 정보를 보유한 정보거래자로 인식되고 있다. Kyle(1985)이나 Black(1986)의 관점에서 개인투자자를 심리적 편향(psychological bias)</w:t>
      </w:r>
      <w:r w:rsidR="00E3687C">
        <w:t>을</w:t>
      </w:r>
      <w:r w:rsidR="00E3687C">
        <w:rPr>
          <w:rFonts w:hint="eastAsia"/>
        </w:rPr>
        <w:t xml:space="preserve"> 가진 </w:t>
      </w:r>
      <w:proofErr w:type="spellStart"/>
      <w:r w:rsidR="00E3687C">
        <w:rPr>
          <w:rFonts w:hint="eastAsia"/>
        </w:rPr>
        <w:t>노이즈</w:t>
      </w:r>
      <w:proofErr w:type="spellEnd"/>
      <w:r w:rsidR="00E3687C">
        <w:rPr>
          <w:rFonts w:hint="eastAsia"/>
        </w:rPr>
        <w:t xml:space="preserve"> </w:t>
      </w:r>
      <w:proofErr w:type="spellStart"/>
      <w:r w:rsidR="00E3687C">
        <w:rPr>
          <w:rFonts w:hint="eastAsia"/>
        </w:rPr>
        <w:t>트레이더로</w:t>
      </w:r>
      <w:proofErr w:type="spellEnd"/>
      <w:r w:rsidR="00E3687C">
        <w:rPr>
          <w:rFonts w:hint="eastAsia"/>
        </w:rPr>
        <w:t xml:space="preserve"> 가정하는 반면, 기관투자자는 정보에 기초한 거래를 통해 지속적인 수익을 창출하고 있다고 가정한다. 많은 선행연구들은 기관투자자의 거래행태를 살펴보고 이들의 거래행태가 가격에 어떠한 영향을 미치는지 그리고 투자성과가 어떤지에 대해 분석하고 있다. 예를 들면, 홍광헌(2006), </w:t>
      </w:r>
      <w:proofErr w:type="spellStart"/>
      <w:r w:rsidR="00E3687C">
        <w:rPr>
          <w:rFonts w:hint="eastAsia"/>
        </w:rPr>
        <w:t>Falkenstein</w:t>
      </w:r>
      <w:proofErr w:type="spellEnd"/>
      <w:r w:rsidR="00E3687C">
        <w:rPr>
          <w:rFonts w:hint="eastAsia"/>
        </w:rPr>
        <w:t xml:space="preserve">(1996), </w:t>
      </w:r>
      <w:proofErr w:type="spellStart"/>
      <w:r w:rsidR="00E3687C">
        <w:rPr>
          <w:rFonts w:hint="eastAsia"/>
        </w:rPr>
        <w:t>Nofsinger</w:t>
      </w:r>
      <w:proofErr w:type="spellEnd"/>
      <w:r w:rsidR="00E3687C">
        <w:rPr>
          <w:rFonts w:hint="eastAsia"/>
        </w:rPr>
        <w:t xml:space="preserve"> and </w:t>
      </w:r>
      <w:proofErr w:type="spellStart"/>
      <w:r w:rsidR="00E3687C">
        <w:rPr>
          <w:rFonts w:hint="eastAsia"/>
        </w:rPr>
        <w:t>sias</w:t>
      </w:r>
      <w:proofErr w:type="spellEnd"/>
      <w:r w:rsidR="00E3687C">
        <w:rPr>
          <w:rFonts w:hint="eastAsia"/>
        </w:rPr>
        <w:t xml:space="preserve">(1999), </w:t>
      </w:r>
      <w:proofErr w:type="spellStart"/>
      <w:r w:rsidR="00E3687C">
        <w:rPr>
          <w:rFonts w:hint="eastAsia"/>
        </w:rPr>
        <w:t>Wermers</w:t>
      </w:r>
      <w:proofErr w:type="spellEnd"/>
      <w:r w:rsidR="00E3687C">
        <w:rPr>
          <w:rFonts w:hint="eastAsia"/>
        </w:rPr>
        <w:t xml:space="preserve">(1999) 등의 연구는 각 투자자 그룹의 거래행태를 분석하여 거래행태가 과거 주가의 움직임과 어떠한 관련성이 있는지 분석하였다. 이들 연구에 의하면, 기관투자자는 양의피드백거래(positive feedback trade)를 개인투자자는 </w:t>
      </w:r>
      <w:proofErr w:type="spellStart"/>
      <w:r w:rsidR="00E3687C">
        <w:rPr>
          <w:rFonts w:hint="eastAsia"/>
        </w:rPr>
        <w:t>음의피드백거래</w:t>
      </w:r>
      <w:proofErr w:type="spellEnd"/>
      <w:r w:rsidR="00E3687C">
        <w:rPr>
          <w:rFonts w:hint="eastAsia"/>
        </w:rPr>
        <w:t>(negative feedback trade)를 주로 활용한다고 알려져 있으며, 이러한 특성은 기관투자자들의 군집현상(herding behavior)와 결합되어 주식시장의 변동성에 유의한 영향을 미친다고 알려지기도 하였다.</w:t>
      </w:r>
      <w:r w:rsidR="00E3687C" w:rsidRPr="00B6568E">
        <w:rPr>
          <w:rStyle w:val="a5"/>
          <w:rFonts w:ascii="Times New Roman" w:eastAsia="HY신명조" w:hAnsi="Times New Roman" w:cs="Times New Roman"/>
        </w:rPr>
        <w:footnoteReference w:id="1"/>
      </w:r>
      <w:r w:rsidR="00E3687C">
        <w:rPr>
          <w:rFonts w:hint="eastAsia"/>
        </w:rPr>
        <w:t xml:space="preserve"> </w:t>
      </w:r>
    </w:p>
    <w:p w:rsidR="00DE2842" w:rsidRDefault="00DE2842" w:rsidP="00CF6042">
      <w:pPr>
        <w:spacing w:line="276" w:lineRule="auto"/>
        <w:ind w:firstLineChars="100" w:firstLine="200"/>
      </w:pPr>
      <w:r>
        <w:rPr>
          <w:rFonts w:hint="eastAsia"/>
        </w:rPr>
        <w:t xml:space="preserve">한편 기관투자자의 전형적인 거래행태와 별개로, 기관투자자가 정보거래자로써 정보에 기초하여 거래를 수행하고 실제로 수익을 기록하고 있는지 검증하는 많은 연구들이 존재한다 (Barber and </w:t>
      </w:r>
      <w:proofErr w:type="spellStart"/>
      <w:r>
        <w:rPr>
          <w:rFonts w:hint="eastAsia"/>
        </w:rPr>
        <w:t>Odean</w:t>
      </w:r>
      <w:proofErr w:type="spellEnd"/>
      <w:r>
        <w:rPr>
          <w:rFonts w:hint="eastAsia"/>
        </w:rPr>
        <w:t xml:space="preserve">, 1999; </w:t>
      </w:r>
      <w:proofErr w:type="spellStart"/>
      <w:r>
        <w:rPr>
          <w:rFonts w:hint="eastAsia"/>
        </w:rPr>
        <w:t>Choe</w:t>
      </w:r>
      <w:proofErr w:type="spellEnd"/>
      <w:r>
        <w:rPr>
          <w:rFonts w:hint="eastAsia"/>
        </w:rPr>
        <w:t xml:space="preserve"> et al</w:t>
      </w:r>
      <w:proofErr w:type="gramStart"/>
      <w:r>
        <w:rPr>
          <w:rFonts w:hint="eastAsia"/>
        </w:rPr>
        <w:t>.,</w:t>
      </w:r>
      <w:proofErr w:type="gramEnd"/>
      <w:r>
        <w:rPr>
          <w:rFonts w:hint="eastAsia"/>
        </w:rPr>
        <w:t xml:space="preserve"> 1999; </w:t>
      </w:r>
      <w:proofErr w:type="spellStart"/>
      <w:r>
        <w:rPr>
          <w:rFonts w:hint="eastAsia"/>
        </w:rPr>
        <w:t>Grinblatt</w:t>
      </w:r>
      <w:proofErr w:type="spellEnd"/>
      <w:r>
        <w:rPr>
          <w:rFonts w:hint="eastAsia"/>
        </w:rPr>
        <w:t xml:space="preserve"> and </w:t>
      </w:r>
      <w:proofErr w:type="spellStart"/>
      <w:r>
        <w:rPr>
          <w:rFonts w:hint="eastAsia"/>
        </w:rPr>
        <w:t>Keloharju</w:t>
      </w:r>
      <w:proofErr w:type="spellEnd"/>
      <w:r>
        <w:rPr>
          <w:rFonts w:hint="eastAsia"/>
        </w:rPr>
        <w:t>, 2000</w:t>
      </w:r>
      <w:r w:rsidR="006E6C79">
        <w:rPr>
          <w:rFonts w:hint="eastAsia"/>
        </w:rPr>
        <w:t>; Jackson, 2003</w:t>
      </w:r>
      <w:r>
        <w:rPr>
          <w:rFonts w:hint="eastAsia"/>
        </w:rPr>
        <w:t xml:space="preserve"> 등). 이들 연구는 거래자들의 실제 투자성과를 비교함으로써 정보거래자로 알려진 기관투자자의 성과가 다른 투자자 그룹보다 우수한지 확인한다. 만약 기관투자자가 정보적으로 우수하다면, 정보를 이용해 수익을 창출할 수 있기 때문이다. 이러한 연구는 각 투자자 그룹의 사후 투자성과를 측정해야 하기 때문에, 투자자 그룹의 거래시점 이후의 주식가격 움직임을 주 분석대상으로 하게 된다 (</w:t>
      </w:r>
      <w:proofErr w:type="spellStart"/>
      <w:r>
        <w:rPr>
          <w:rFonts w:hint="eastAsia"/>
        </w:rPr>
        <w:t>Kaniel</w:t>
      </w:r>
      <w:proofErr w:type="spellEnd"/>
      <w:r>
        <w:rPr>
          <w:rFonts w:hint="eastAsia"/>
        </w:rPr>
        <w:t xml:space="preserve"> et al</w:t>
      </w:r>
      <w:proofErr w:type="gramStart"/>
      <w:r>
        <w:rPr>
          <w:rFonts w:hint="eastAsia"/>
        </w:rPr>
        <w:t>.,</w:t>
      </w:r>
      <w:proofErr w:type="gramEnd"/>
      <w:r>
        <w:rPr>
          <w:rFonts w:hint="eastAsia"/>
        </w:rPr>
        <w:t xml:space="preserve"> 2008).</w:t>
      </w:r>
      <w:r w:rsidRPr="00B6568E">
        <w:rPr>
          <w:rStyle w:val="a5"/>
          <w:rFonts w:ascii="Times New Roman" w:eastAsia="HY신명조" w:hAnsi="Times New Roman" w:cs="Times New Roman"/>
        </w:rPr>
        <w:footnoteReference w:id="2"/>
      </w:r>
      <w:r>
        <w:rPr>
          <w:rFonts w:hint="eastAsia"/>
        </w:rPr>
        <w:t xml:space="preserve"> </w:t>
      </w:r>
    </w:p>
    <w:p w:rsidR="003C21BB" w:rsidRDefault="003C21BB" w:rsidP="00CF6042">
      <w:pPr>
        <w:spacing w:line="276" w:lineRule="auto"/>
        <w:ind w:firstLineChars="100" w:firstLine="200"/>
      </w:pPr>
      <w:r>
        <w:rPr>
          <w:rFonts w:hint="eastAsia"/>
        </w:rPr>
        <w:t>본 연구는 기관투자자의 위와 같은 특성이 옵션거래, 즉 변동성 거래에도 유효한지를 검증하는 것을 목적으로 한다. 앞선 두 방향의 연구를 참조하여, 언제 각 기관투자자의 옵션거래가 집중되</w:t>
      </w:r>
      <w:r>
        <w:rPr>
          <w:rFonts w:hint="eastAsia"/>
        </w:rPr>
        <w:lastRenderedPageBreak/>
        <w:t xml:space="preserve">는지, 그리고 집중된 거래 이후/이전의 변동성이 어떻게 변화하는지 분석한다. 앞서 설명한 대부분의 연구들이 기초자산시장인 주식시장에서 투자자의 특성에 대해 살펴본 반면, 본 연구는 대표적인 파생상품시장인 옵션시장에서 분석이 이루어진다는 차별성이 있다. </w:t>
      </w:r>
      <w:r w:rsidR="00D671D1">
        <w:rPr>
          <w:rFonts w:hint="eastAsia"/>
        </w:rPr>
        <w:t xml:space="preserve">옵션시장을 연구대상으로 선택한 이유는 다음과 같다. 첫째, </w:t>
      </w:r>
      <w:proofErr w:type="spellStart"/>
      <w:r w:rsidR="00D671D1">
        <w:rPr>
          <w:rFonts w:hint="eastAsia"/>
        </w:rPr>
        <w:t>Figlewiski</w:t>
      </w:r>
      <w:proofErr w:type="spellEnd"/>
      <w:r w:rsidR="00D671D1">
        <w:rPr>
          <w:rFonts w:hint="eastAsia"/>
        </w:rPr>
        <w:t>(1997)과 Easley et al</w:t>
      </w:r>
      <w:proofErr w:type="gramStart"/>
      <w:r w:rsidR="00D671D1">
        <w:rPr>
          <w:rFonts w:hint="eastAsia"/>
        </w:rPr>
        <w:t>.(</w:t>
      </w:r>
      <w:proofErr w:type="gramEnd"/>
      <w:r w:rsidR="00D671D1">
        <w:rPr>
          <w:rFonts w:hint="eastAsia"/>
        </w:rPr>
        <w:t xml:space="preserve">1998), </w:t>
      </w:r>
      <w:proofErr w:type="spellStart"/>
      <w:r w:rsidR="00D671D1">
        <w:rPr>
          <w:rFonts w:hint="eastAsia"/>
        </w:rPr>
        <w:t>Charkravarty</w:t>
      </w:r>
      <w:proofErr w:type="spellEnd"/>
      <w:r w:rsidR="00D671D1">
        <w:rPr>
          <w:rFonts w:hint="eastAsia"/>
        </w:rPr>
        <w:t xml:space="preserve"> et al.(2004), </w:t>
      </w:r>
      <w:proofErr w:type="spellStart"/>
      <w:r w:rsidR="00D671D1" w:rsidRPr="00D671D1">
        <w:rPr>
          <w:rFonts w:hint="eastAsia"/>
        </w:rPr>
        <w:t>Anand</w:t>
      </w:r>
      <w:proofErr w:type="spellEnd"/>
      <w:r w:rsidR="00D671D1" w:rsidRPr="00D671D1">
        <w:rPr>
          <w:rFonts w:hint="eastAsia"/>
        </w:rPr>
        <w:t xml:space="preserve"> and </w:t>
      </w:r>
      <w:proofErr w:type="spellStart"/>
      <w:r w:rsidR="00D671D1" w:rsidRPr="00D671D1">
        <w:rPr>
          <w:rFonts w:hint="eastAsia"/>
        </w:rPr>
        <w:t>Charkravarty</w:t>
      </w:r>
      <w:proofErr w:type="spellEnd"/>
      <w:r w:rsidR="00D671D1" w:rsidRPr="00D671D1">
        <w:rPr>
          <w:rFonts w:hint="eastAsia"/>
        </w:rPr>
        <w:t>(2007)</w:t>
      </w:r>
      <w:r w:rsidR="00D671D1">
        <w:rPr>
          <w:rFonts w:hint="eastAsia"/>
        </w:rPr>
        <w:t xml:space="preserve">는 정보거래자가 유동성이 높고 레버레지가 높은 자산을 이용해 </w:t>
      </w:r>
      <w:proofErr w:type="spellStart"/>
      <w:r w:rsidR="00D671D1">
        <w:rPr>
          <w:rFonts w:hint="eastAsia"/>
        </w:rPr>
        <w:t>사적정보를</w:t>
      </w:r>
      <w:proofErr w:type="spellEnd"/>
      <w:r w:rsidR="00D671D1">
        <w:rPr>
          <w:rFonts w:hint="eastAsia"/>
        </w:rPr>
        <w:t xml:space="preserve"> 활용한 이윤극대화를 추구하고 있음을 보였다.</w:t>
      </w:r>
      <w:r w:rsidR="00D671D1" w:rsidRPr="00B6568E">
        <w:rPr>
          <w:rStyle w:val="a5"/>
          <w:rFonts w:ascii="Times New Roman" w:eastAsia="HY신명조" w:hAnsi="Times New Roman" w:cs="Times New Roman"/>
        </w:rPr>
        <w:footnoteReference w:id="3"/>
      </w:r>
      <w:r w:rsidR="00D671D1" w:rsidRPr="00B6568E">
        <w:rPr>
          <w:rFonts w:ascii="Times New Roman" w:eastAsia="HY신명조" w:hAnsi="Times New Roman" w:cs="Times New Roman"/>
        </w:rPr>
        <w:t xml:space="preserve"> </w:t>
      </w:r>
      <w:r w:rsidR="00D671D1">
        <w:rPr>
          <w:rFonts w:hint="eastAsia"/>
        </w:rPr>
        <w:t xml:space="preserve"> 옵션은 기초자산에 비해 높은 레버레지를 가지고 있으며, 본 연구 대상이 되는 KOSPI200 옵션은 기초자산에 비해 유동성도 풍부하다. 따라서 KOSPI200 옵션시장은 정보거래자가 선택할 수 있는 우수한 거래장소가 될 수 있다. Choy and Wei(2012) 및 </w:t>
      </w:r>
      <w:proofErr w:type="spellStart"/>
      <w:r w:rsidR="00D671D1">
        <w:rPr>
          <w:rFonts w:hint="eastAsia"/>
        </w:rPr>
        <w:t>Maraachlian</w:t>
      </w:r>
      <w:proofErr w:type="spellEnd"/>
      <w:r w:rsidR="00D671D1">
        <w:rPr>
          <w:rFonts w:hint="eastAsia"/>
        </w:rPr>
        <w:t xml:space="preserve"> and </w:t>
      </w:r>
      <w:proofErr w:type="spellStart"/>
      <w:r w:rsidR="00D671D1">
        <w:rPr>
          <w:rFonts w:hint="eastAsia"/>
        </w:rPr>
        <w:t>Pourke</w:t>
      </w:r>
      <w:proofErr w:type="spellEnd"/>
      <w:r w:rsidR="00D671D1">
        <w:rPr>
          <w:rFonts w:hint="eastAsia"/>
        </w:rPr>
        <w:t xml:space="preserve">(2013)은 옵션시장에서 기초자산의 움직임에 대한 정보를 가진 투자자들이 투기적 거래를 수행하고 있음을 보고하였다. </w:t>
      </w:r>
    </w:p>
    <w:p w:rsidR="00D671D1" w:rsidRDefault="00D671D1" w:rsidP="00CF6042">
      <w:pPr>
        <w:spacing w:line="276" w:lineRule="auto"/>
        <w:ind w:firstLineChars="100" w:firstLine="200"/>
      </w:pPr>
      <w:r>
        <w:rPr>
          <w:rFonts w:hint="eastAsia"/>
        </w:rPr>
        <w:t xml:space="preserve">또한 옵션시장은 기초자산시장과 다르게 변동성을 거래할 수 있는 시장이다. 기초자산시장에서 투자자는 기초자산가격의 상승과 하락에 대한 전망에 기초하여 투자를 수행한다면, 옵션시장은 변동성의 상승과 하락에 대한 전망에 기초한 투자를 수행할 수 있다. 예를 들면 </w:t>
      </w:r>
      <w:r w:rsidR="00B724D8">
        <w:rPr>
          <w:rFonts w:hint="eastAsia"/>
        </w:rPr>
        <w:t xml:space="preserve">동일한 행사가격과 만기의 </w:t>
      </w:r>
      <w:proofErr w:type="spellStart"/>
      <w:r w:rsidR="00B724D8">
        <w:rPr>
          <w:rFonts w:hint="eastAsia"/>
        </w:rPr>
        <w:t>콜옵션과</w:t>
      </w:r>
      <w:proofErr w:type="spellEnd"/>
      <w:r w:rsidR="00B724D8">
        <w:rPr>
          <w:rFonts w:hint="eastAsia"/>
        </w:rPr>
        <w:t xml:space="preserve"> </w:t>
      </w:r>
      <w:proofErr w:type="spellStart"/>
      <w:r w:rsidR="00B724D8">
        <w:rPr>
          <w:rFonts w:hint="eastAsia"/>
        </w:rPr>
        <w:t>풋옵션</w:t>
      </w:r>
      <w:proofErr w:type="spellEnd"/>
      <w:r w:rsidR="00B724D8">
        <w:rPr>
          <w:rFonts w:hint="eastAsia"/>
        </w:rPr>
        <w:t xml:space="preserve"> 매수로 이루어진 </w:t>
      </w:r>
      <w:proofErr w:type="spellStart"/>
      <w:r>
        <w:rPr>
          <w:rFonts w:hint="eastAsia"/>
        </w:rPr>
        <w:t>스트래들</w:t>
      </w:r>
      <w:proofErr w:type="spellEnd"/>
      <w:r>
        <w:rPr>
          <w:rFonts w:hint="eastAsia"/>
        </w:rPr>
        <w:t xml:space="preserve"> 매수 포지션은 변동성 매수포지션과 같아 향후 변동성이 상승할 경우 이익을 얻을 수 있으며, 반대의 경우도 성립한다. Chang, </w:t>
      </w:r>
      <w:proofErr w:type="spellStart"/>
      <w:r>
        <w:rPr>
          <w:rFonts w:hint="eastAsia"/>
        </w:rPr>
        <w:t>Hsieha</w:t>
      </w:r>
      <w:proofErr w:type="spellEnd"/>
      <w:r>
        <w:rPr>
          <w:rFonts w:hint="eastAsia"/>
        </w:rPr>
        <w:t xml:space="preserve"> and Wang(2010)은 홍콩 옵션시장에서 외국의 기관투자자가 변동성에 </w:t>
      </w:r>
      <w:r w:rsidR="007A7718">
        <w:rPr>
          <w:rFonts w:hint="eastAsia"/>
        </w:rPr>
        <w:t xml:space="preserve">대해 </w:t>
      </w:r>
      <w:r>
        <w:rPr>
          <w:rFonts w:hint="eastAsia"/>
        </w:rPr>
        <w:t xml:space="preserve">우수한 정보를 보유하고 이를 이용해 변동성 정보거래를 수행하고 있음을 보였다. </w:t>
      </w:r>
      <w:r w:rsidR="00B724D8">
        <w:rPr>
          <w:rFonts w:hint="eastAsia"/>
        </w:rPr>
        <w:t xml:space="preserve">실제로, (내재)변동성은 기초자산의 가격, 만기, 행사가격, 이자율 정보가 주어질 경우 옵션가격으로부터 역산되기 때문에, 옵션가격에서 기초자산의 영향을 제외한 순수한 가격의 측도가 된다. 따라서 기초자산 거래가 기초자산의 상승/하락에 기초한 거래라면, 옵션거래는 변동성의 상승/하락에 대한 거래라는 의미에서 변동성거래(volatility trading)라 불린다. </w:t>
      </w:r>
    </w:p>
    <w:p w:rsidR="00B724D8" w:rsidRDefault="0039643C" w:rsidP="00CF6042">
      <w:pPr>
        <w:spacing w:line="276" w:lineRule="auto"/>
        <w:ind w:firstLineChars="100" w:firstLine="200"/>
      </w:pPr>
      <w:r>
        <w:rPr>
          <w:rFonts w:hint="eastAsia"/>
        </w:rPr>
        <w:t xml:space="preserve">이러한 분명한 차이에도 불구하고 학계에서 옵션시장에서 </w:t>
      </w:r>
      <w:proofErr w:type="spellStart"/>
      <w:r>
        <w:rPr>
          <w:rFonts w:hint="eastAsia"/>
        </w:rPr>
        <w:t>투자자별</w:t>
      </w:r>
      <w:proofErr w:type="spellEnd"/>
      <w:r>
        <w:rPr>
          <w:rFonts w:hint="eastAsia"/>
        </w:rPr>
        <w:t xml:space="preserve"> 거래행태에 대한 분석이 미흡했던 이유는 다음과 같다. 대부분의 국제금융시장에서 옵션거래는 주로 기관투자자에 의해 이루어지고 있다. 예를 들면, BIS Quarterly Report(2005)는 S&amp;P00 옵션시장에서 개인투자자의 거래비율이 약 3% 미만이며, Nikkei225 옵션시장에서도 10% 미만임을 확인하였다. 대부분의 선진파생상품시장에서도 이 비율은 크게 다르지 않다. 이러한 상황에서 거래의 대부분을 차지하는 기관투자자의 고유한 역할에 대해 분석하기란 불가능하다. 그러나 KOSPI200 옵션시장은 2000년대 초반까지 개인의 투자비율이 40%를 초과했으며, 국내기관투자자와 외국인기관투자자의 비율이 약 30%씩의 거래비중을 보였다. 따라서 거래 유형별 상호작용이 있는 KOSPI200 옵션시장에서라면 충분히 특정 거래주체의 거래성향 및 특성에 대해 분석할 수 있을 것이다. 정재만, 김재근(2005), Kang </w:t>
      </w:r>
      <w:r>
        <w:rPr>
          <w:rFonts w:hint="eastAsia"/>
        </w:rPr>
        <w:lastRenderedPageBreak/>
        <w:t>and Park(2008) 등 만이 이러한 특성을 살펴 KOSPI200 옵션시장의 투자자 유형별 특징을 살핀 연구에 해당한다.</w:t>
      </w:r>
      <w:r w:rsidRPr="00B6568E">
        <w:rPr>
          <w:rStyle w:val="a5"/>
          <w:rFonts w:ascii="Times New Roman" w:eastAsia="HY신명조" w:hAnsi="Times New Roman" w:cs="Times New Roman"/>
        </w:rPr>
        <w:footnoteReference w:id="4"/>
      </w:r>
      <w:r>
        <w:rPr>
          <w:rFonts w:hint="eastAsia"/>
        </w:rPr>
        <w:t xml:space="preserve"> </w:t>
      </w:r>
      <w:r w:rsidR="00573C69">
        <w:rPr>
          <w:rFonts w:hint="eastAsia"/>
        </w:rPr>
        <w:t xml:space="preserve">위와 같이 신흥시장에 대한 연구는 기관투자자를 국내와 외국인으로 나누는 것이 일반적이다. 따라서 </w:t>
      </w:r>
      <w:r w:rsidR="00573C69">
        <w:t>본</w:t>
      </w:r>
      <w:r w:rsidR="00573C69">
        <w:rPr>
          <w:rFonts w:hint="eastAsia"/>
        </w:rPr>
        <w:t xml:space="preserve"> 연구도 기관투자자를 국내기관투자자와 외국인기관투자자로 나누어 두 거래주체의 특성에 대해 분석한다. </w:t>
      </w:r>
    </w:p>
    <w:p w:rsidR="00752E84" w:rsidRDefault="009B4DF8" w:rsidP="00752E84">
      <w:pPr>
        <w:spacing w:line="276" w:lineRule="auto"/>
        <w:ind w:firstLineChars="100" w:firstLine="200"/>
      </w:pPr>
      <w:r>
        <w:rPr>
          <w:rFonts w:hint="eastAsia"/>
        </w:rPr>
        <w:t xml:space="preserve">본 연구의 방법론은 </w:t>
      </w:r>
      <w:proofErr w:type="spellStart"/>
      <w:r>
        <w:rPr>
          <w:rFonts w:hint="eastAsia"/>
        </w:rPr>
        <w:t>Kaniel</w:t>
      </w:r>
      <w:proofErr w:type="spellEnd"/>
      <w:r>
        <w:rPr>
          <w:rFonts w:hint="eastAsia"/>
        </w:rPr>
        <w:t xml:space="preserve"> et al</w:t>
      </w:r>
      <w:proofErr w:type="gramStart"/>
      <w:r>
        <w:rPr>
          <w:rFonts w:hint="eastAsia"/>
        </w:rPr>
        <w:t>.(</w:t>
      </w:r>
      <w:proofErr w:type="gramEnd"/>
      <w:r>
        <w:rPr>
          <w:rFonts w:hint="eastAsia"/>
        </w:rPr>
        <w:t xml:space="preserve">2008)의 방법론을 사용한다. </w:t>
      </w:r>
      <w:proofErr w:type="spellStart"/>
      <w:r>
        <w:rPr>
          <w:rFonts w:hint="eastAsia"/>
        </w:rPr>
        <w:t>Kaniel</w:t>
      </w:r>
      <w:proofErr w:type="spellEnd"/>
      <w:r>
        <w:rPr>
          <w:rFonts w:hint="eastAsia"/>
        </w:rPr>
        <w:t xml:space="preserve"> et al</w:t>
      </w:r>
      <w:proofErr w:type="gramStart"/>
      <w:r>
        <w:rPr>
          <w:rFonts w:hint="eastAsia"/>
        </w:rPr>
        <w:t>.(</w:t>
      </w:r>
      <w:proofErr w:type="gramEnd"/>
      <w:r>
        <w:rPr>
          <w:rFonts w:hint="eastAsia"/>
        </w:rPr>
        <w:t xml:space="preserve">2008)은 주식시장을 대상으로 정보거래자와 </w:t>
      </w:r>
      <w:proofErr w:type="spellStart"/>
      <w:r>
        <w:rPr>
          <w:rFonts w:hint="eastAsia"/>
        </w:rPr>
        <w:t>비정보거래자가</w:t>
      </w:r>
      <w:proofErr w:type="spellEnd"/>
      <w:r>
        <w:rPr>
          <w:rFonts w:hint="eastAsia"/>
        </w:rPr>
        <w:t xml:space="preserve"> 어떻게 거래를 체결시키는지 그리고 가격이 어떻게 변동하는지 살펴보았다. 정보거래자는 정보를 이용해 빠른 시간 안에 거래를 체결하기 위해 </w:t>
      </w:r>
      <w:proofErr w:type="spellStart"/>
      <w:r>
        <w:rPr>
          <w:rFonts w:hint="eastAsia"/>
        </w:rPr>
        <w:t>비정보거래자에게</w:t>
      </w:r>
      <w:proofErr w:type="spellEnd"/>
      <w:r>
        <w:rPr>
          <w:rFonts w:hint="eastAsia"/>
        </w:rPr>
        <w:t xml:space="preserve"> 일시적으로 유리한 가격을 제시하는데 그 결과 가격이 단기간에 반전하는 현상이 관찰되며, 이 때 </w:t>
      </w:r>
      <w:proofErr w:type="spellStart"/>
      <w:r>
        <w:rPr>
          <w:rFonts w:hint="eastAsia"/>
        </w:rPr>
        <w:t>비정보거래자는</w:t>
      </w:r>
      <w:proofErr w:type="spellEnd"/>
      <w:r>
        <w:rPr>
          <w:rFonts w:hint="eastAsia"/>
        </w:rPr>
        <w:t xml:space="preserve"> 반대매매거래전략을 사용하는 것처럼 보일 수 있음을 증명하였다. 실제로 </w:t>
      </w:r>
      <w:proofErr w:type="spellStart"/>
      <w:r>
        <w:rPr>
          <w:rFonts w:hint="eastAsia"/>
        </w:rPr>
        <w:t>비정보거래자로</w:t>
      </w:r>
      <w:proofErr w:type="spellEnd"/>
      <w:r>
        <w:rPr>
          <w:rFonts w:hint="eastAsia"/>
        </w:rPr>
        <w:t xml:space="preserve"> 인식되는 개인투자자가 실증적으로 반대매매전략을 취하고 있기에 본 연구는 이러한 연구들과의 관련성을 높여주었다. 본 연구에서는 위의 아이디어를 차용하여 옵션시장에서 변동성에 대한 우월한 정보를 보유한 투자자가 변동성의 변화를 예측하여 거래를 수행하는지, 유동성 공급자는 계약체결의 대가로 단기적인 보상을 얻고 있는지 검증한다. 앞서 윤선중, 김소정(2013)은 개인투자자를 대상으로 옵션거래에서 유동성 공급자로서의 역할을 수행하는지 검증한 바 있다. 이와 달리 본 연구는 기관투자자(i.e., </w:t>
      </w:r>
      <w:r>
        <w:t>국내기관투자자</w:t>
      </w:r>
      <w:r>
        <w:rPr>
          <w:rFonts w:hint="eastAsia"/>
        </w:rPr>
        <w:t xml:space="preserve">와 외국인기관투자자)의 특성 및 정보거래자 여부를 살폈다는 차별성을 갖는다. </w:t>
      </w:r>
    </w:p>
    <w:p w:rsidR="009B4DF8" w:rsidRDefault="009B4DF8" w:rsidP="00752E84">
      <w:pPr>
        <w:spacing w:line="276" w:lineRule="auto"/>
        <w:ind w:firstLineChars="100" w:firstLine="200"/>
      </w:pPr>
      <w:r w:rsidRPr="009B4DF8">
        <w:t>본 분석에서 사용되는 기관</w:t>
      </w:r>
      <w:r w:rsidR="00752E84">
        <w:rPr>
          <w:rFonts w:hint="eastAsia"/>
        </w:rPr>
        <w:t xml:space="preserve">투자자들의 거래강도는 한국거래소에서 제공하는 &lt;옵션 일별 </w:t>
      </w:r>
      <w:proofErr w:type="spellStart"/>
      <w:r w:rsidR="00752E84">
        <w:rPr>
          <w:rFonts w:hint="eastAsia"/>
        </w:rPr>
        <w:t>투자자별</w:t>
      </w:r>
      <w:proofErr w:type="spellEnd"/>
      <w:r w:rsidR="00752E84">
        <w:rPr>
          <w:rFonts w:hint="eastAsia"/>
        </w:rPr>
        <w:t xml:space="preserve"> 거래실적&gt;을 이용하여 계산된다. </w:t>
      </w:r>
      <w:r w:rsidRPr="009B4DF8">
        <w:t>이 자료는 각 투자자그룹의 옵션의 매수·매도 물량(</w:t>
      </w:r>
      <w:proofErr w:type="spellStart"/>
      <w:r w:rsidRPr="009B4DF8">
        <w:t>거래옵션수</w:t>
      </w:r>
      <w:proofErr w:type="spellEnd"/>
      <w:r w:rsidRPr="009B4DF8">
        <w:t xml:space="preserve"> 및 거래대금) 정보가 표시되고 있다. 기존 연구들과의 일관성을 확보하기 위하여 모든 자료는 </w:t>
      </w:r>
      <w:proofErr w:type="spellStart"/>
      <w:r w:rsidRPr="009B4DF8">
        <w:t>주별자료</w:t>
      </w:r>
      <w:proofErr w:type="spellEnd"/>
      <w:r w:rsidRPr="009B4DF8">
        <w:t xml:space="preserve">(weekly series)로 구성하였으며, 거래강도는 </w:t>
      </w:r>
      <w:proofErr w:type="spellStart"/>
      <w:r w:rsidRPr="009B4DF8">
        <w:t>매수량과</w:t>
      </w:r>
      <w:proofErr w:type="spellEnd"/>
      <w:r w:rsidRPr="009B4DF8">
        <w:t xml:space="preserve"> </w:t>
      </w:r>
      <w:proofErr w:type="spellStart"/>
      <w:r w:rsidRPr="009B4DF8">
        <w:t>매도량의</w:t>
      </w:r>
      <w:proofErr w:type="spellEnd"/>
      <w:r w:rsidRPr="009B4DF8">
        <w:t xml:space="preserve"> 차로 정의된다. 거래소에서 제공하는 자료는 </w:t>
      </w:r>
      <w:proofErr w:type="spellStart"/>
      <w:r w:rsidRPr="009B4DF8">
        <w:t>콜옵션과</w:t>
      </w:r>
      <w:proofErr w:type="spellEnd"/>
      <w:r w:rsidRPr="009B4DF8">
        <w:t xml:space="preserve"> </w:t>
      </w:r>
      <w:proofErr w:type="spellStart"/>
      <w:r w:rsidRPr="009B4DF8">
        <w:t>풋옵션이</w:t>
      </w:r>
      <w:proofErr w:type="spellEnd"/>
      <w:r w:rsidRPr="009B4DF8">
        <w:t xml:space="preserve"> 통합된 전체 옵션의 매수·매도자료이지만, 모든 옵션의 매수 포지션은 변동성의 매수전략과 관련되어 있으며, 매도 포지션은 변동성 매도전략과 관련되어 있기 때문에, 변동성 거래전략에 대한 의미 있는 결과를 제공할 수 있다.   </w:t>
      </w:r>
    </w:p>
    <w:p w:rsidR="00985927" w:rsidRDefault="006E4FD0" w:rsidP="00985927">
      <w:pPr>
        <w:spacing w:line="276" w:lineRule="auto"/>
        <w:ind w:firstLineChars="100" w:firstLine="200"/>
      </w:pPr>
      <w:r>
        <w:rPr>
          <w:rFonts w:hint="eastAsia"/>
        </w:rPr>
        <w:t xml:space="preserve">본 연구의 결과는 다음과 같이 요약할 수 있다. 첫째, 언제 각 기관투자자의 변동성 매매가 일어나는지에 대해 살펴본 </w:t>
      </w:r>
      <w:proofErr w:type="spellStart"/>
      <w:r>
        <w:rPr>
          <w:rFonts w:hint="eastAsia"/>
        </w:rPr>
        <w:t>동시점</w:t>
      </w:r>
      <w:proofErr w:type="spellEnd"/>
      <w:r>
        <w:rPr>
          <w:rFonts w:hint="eastAsia"/>
        </w:rPr>
        <w:t xml:space="preserve"> 분석(contemporaneous </w:t>
      </w:r>
      <w:proofErr w:type="spellStart"/>
      <w:r>
        <w:rPr>
          <w:rFonts w:hint="eastAsia"/>
        </w:rPr>
        <w:t>analaysis</w:t>
      </w:r>
      <w:proofErr w:type="spellEnd"/>
      <w:r>
        <w:rPr>
          <w:rFonts w:hint="eastAsia"/>
        </w:rPr>
        <w:t xml:space="preserve">)에 의하면, </w:t>
      </w:r>
      <w:r w:rsidR="00985927">
        <w:rPr>
          <w:rFonts w:hint="eastAsia"/>
        </w:rPr>
        <w:t xml:space="preserve">전체 국내기관투자자의 거래행위는 </w:t>
      </w:r>
      <w:proofErr w:type="spellStart"/>
      <w:r w:rsidR="00985927">
        <w:rPr>
          <w:rFonts w:hint="eastAsia"/>
        </w:rPr>
        <w:t>동시점의</w:t>
      </w:r>
      <w:proofErr w:type="spellEnd"/>
      <w:r w:rsidR="00985927">
        <w:rPr>
          <w:rFonts w:hint="eastAsia"/>
        </w:rPr>
        <w:t xml:space="preserve"> 변동성변화와 유의한 관련성을 찾기 어려웠으나, 외국인</w:t>
      </w:r>
      <w:r w:rsidR="009E0AF3">
        <w:rPr>
          <w:rFonts w:hint="eastAsia"/>
        </w:rPr>
        <w:t>기관</w:t>
      </w:r>
      <w:r w:rsidR="00985927">
        <w:rPr>
          <w:rFonts w:hint="eastAsia"/>
        </w:rPr>
        <w:t>투자자의 경</w:t>
      </w:r>
      <w:r w:rsidR="00985927">
        <w:rPr>
          <w:rFonts w:hint="eastAsia"/>
        </w:rPr>
        <w:lastRenderedPageBreak/>
        <w:t xml:space="preserve">우 옵션매수가 </w:t>
      </w:r>
      <w:proofErr w:type="spellStart"/>
      <w:r w:rsidR="00985927">
        <w:rPr>
          <w:rFonts w:hint="eastAsia"/>
        </w:rPr>
        <w:t>동시점의</w:t>
      </w:r>
      <w:proofErr w:type="spellEnd"/>
      <w:r w:rsidR="00985927">
        <w:rPr>
          <w:rFonts w:hint="eastAsia"/>
        </w:rPr>
        <w:t xml:space="preserve"> 변동성 하락과 관계되며, 옵션매도는 변동성의 상승과 관계되었다. 이는 외국인</w:t>
      </w:r>
      <w:r w:rsidR="009E0AF3">
        <w:rPr>
          <w:rFonts w:hint="eastAsia"/>
        </w:rPr>
        <w:t>기관</w:t>
      </w:r>
      <w:r w:rsidR="00985927">
        <w:rPr>
          <w:rFonts w:hint="eastAsia"/>
        </w:rPr>
        <w:t>투자자가 변동성의 저가매수 및 고가매도 함을 의미한다. 이러한 결과는 선행연구들이 보인 개인투자자의 특성과 반대이며, 외국인</w:t>
      </w:r>
      <w:r w:rsidR="009E0AF3">
        <w:rPr>
          <w:rFonts w:hint="eastAsia"/>
        </w:rPr>
        <w:t>기관</w:t>
      </w:r>
      <w:r w:rsidR="00985927">
        <w:rPr>
          <w:rFonts w:hint="eastAsia"/>
        </w:rPr>
        <w:t xml:space="preserve">투자자는 변동성이 하락할 때 매수하여 상승할 때 매도하는 변동성 정보거래자로서의 개연성을 지지하고 있다. 두 거래주체의 옵션거래 전후 변동성의 변화를 살펴본 </w:t>
      </w:r>
      <w:proofErr w:type="spellStart"/>
      <w:r w:rsidR="00985927">
        <w:rPr>
          <w:rFonts w:hint="eastAsia"/>
        </w:rPr>
        <w:t>decile</w:t>
      </w:r>
      <w:proofErr w:type="spellEnd"/>
      <w:r w:rsidR="00985927">
        <w:rPr>
          <w:rFonts w:hint="eastAsia"/>
        </w:rPr>
        <w:t xml:space="preserve"> 분석에서도, 국내기관투자자의 경우 유의한 변동성 변화를 확인하지 못한 반면, 외국인</w:t>
      </w:r>
      <w:r w:rsidR="009E0AF3">
        <w:rPr>
          <w:rFonts w:hint="eastAsia"/>
        </w:rPr>
        <w:t>기관</w:t>
      </w:r>
      <w:r w:rsidR="00985927">
        <w:rPr>
          <w:rFonts w:hint="eastAsia"/>
        </w:rPr>
        <w:t xml:space="preserve">투자자는 옵션 매도/매수 이후 유의한 변동성 상승이 관찰되었다. 평균적으로 외국인은 변동성(옵션)매수포지션을 보유하기에 위와 같은 변동성의 변화 역시 상당한 수익을 발생시킴을 추론할 수 있다. 또한 국내기관투자자의 거래가 변동성과 관련성이 나타나지 않는 현상을 설명하기 위해 기관투자자를 증권회사와 투자회사로 구분한 결과, 투자회사의 옵션매도거래는 변동성하락과 관련되어 있으며, 이후에도 유의한 변동성 </w:t>
      </w:r>
      <w:r w:rsidR="002606D1">
        <w:rPr>
          <w:rFonts w:hint="eastAsia"/>
        </w:rPr>
        <w:t>상승</w:t>
      </w:r>
      <w:r w:rsidR="00985927">
        <w:rPr>
          <w:rFonts w:hint="eastAsia"/>
        </w:rPr>
        <w:t xml:space="preserve">이 지속적으로 관찰되었다. 투자회사는 평균적으로 변동성(옵션) 매도거래를 수행하기에 이러한 </w:t>
      </w:r>
      <w:r w:rsidR="002606D1">
        <w:rPr>
          <w:rFonts w:hint="eastAsia"/>
        </w:rPr>
        <w:t>변동성거래는 최소한 변동성거래 측면에서 정보를 보유하고 있다고 판단하기 어렵게 한다</w:t>
      </w:r>
      <w:r w:rsidR="00985927">
        <w:rPr>
          <w:rFonts w:hint="eastAsia"/>
        </w:rPr>
        <w:t xml:space="preserve">. 위 결과는 거래량 효과 및 실현변동성 변화를 고려한 이후에도 여전히 유효하였다. 따라서 앞서 전체 국내기관투자자에 대한 분석이 유의하지 못했던 이유가 이질적인 국내기관투자자의 거래행위로 인한 것임을 확인하였다. </w:t>
      </w:r>
    </w:p>
    <w:p w:rsidR="002C7D06" w:rsidRDefault="009B4DF8" w:rsidP="00985927">
      <w:pPr>
        <w:spacing w:line="276" w:lineRule="auto"/>
        <w:ind w:firstLineChars="100" w:firstLine="200"/>
      </w:pPr>
      <w:r w:rsidRPr="009B4DF8">
        <w:t>본 연구의 구조는 다음과 같다. 제 2장은 연구의 주요 가설을 소개하고, 제 3장은 연구자료 설명 및 거래 강도를 측정하는 측도를 소개한다. 제 4장은 결과의 결과를 정리하고 이를 해석한다. 마지막으로 5장은 연구를 정리한다.</w:t>
      </w:r>
    </w:p>
    <w:p w:rsidR="002C7D06" w:rsidRDefault="002C7D06" w:rsidP="00CF6042">
      <w:pPr>
        <w:spacing w:line="276" w:lineRule="auto"/>
      </w:pPr>
    </w:p>
    <w:p w:rsidR="002C7D06" w:rsidRDefault="002C7D06" w:rsidP="00CF6042">
      <w:pPr>
        <w:spacing w:line="276" w:lineRule="auto"/>
      </w:pPr>
    </w:p>
    <w:p w:rsidR="002C7D06" w:rsidRPr="002C7D06" w:rsidRDefault="002C7D06" w:rsidP="00CF6042">
      <w:pPr>
        <w:pStyle w:val="a9"/>
        <w:numPr>
          <w:ilvl w:val="0"/>
          <w:numId w:val="1"/>
        </w:numPr>
        <w:spacing w:line="276" w:lineRule="auto"/>
        <w:ind w:leftChars="0"/>
        <w:rPr>
          <w:b/>
          <w:sz w:val="28"/>
        </w:rPr>
      </w:pPr>
      <w:r w:rsidRPr="002C7D06">
        <w:rPr>
          <w:rFonts w:hint="eastAsia"/>
          <w:b/>
          <w:sz w:val="28"/>
        </w:rPr>
        <w:t xml:space="preserve">가설설정 </w:t>
      </w:r>
    </w:p>
    <w:p w:rsidR="002C7D06" w:rsidRDefault="00C3035C" w:rsidP="00C3035C">
      <w:pPr>
        <w:spacing w:line="276" w:lineRule="auto"/>
        <w:ind w:firstLineChars="100" w:firstLine="200"/>
      </w:pPr>
      <w:r>
        <w:t>본</w:t>
      </w:r>
      <w:r>
        <w:rPr>
          <w:rFonts w:hint="eastAsia"/>
        </w:rPr>
        <w:t xml:space="preserve"> 장은 각 기관투자자들의 매매시점의 특성 및 대량매매 전후의 변동성 변화에 대한 가설을 소개한다. 현물시장이 현물 가격에 대한 전망에 기초한 거래가 이루어진다면, 옵션시장은 현물의 변동성을 거래하는 시장이라 할 수 있다. 옵션가격은 변동성과 정의 관계를 가지기 때문에, 옵션 매수는 변동성 매수에 대응하며 옵션매도는 변동성 매도에 대응한다. 향후 변동성이 하락하는 정보가 존재한다면, 이 정보를 보유한 정보거래자는 옵션을 매도하려 할 것이다. 이 때 계약은 양방향성이기 때문에 변동성(옵션)을 매수하려는 거래상대방이 필요하다. 이 관계에 의하여 옵션 거래자들 사이에 상대적인 정보 우위(informative superiority)</w:t>
      </w:r>
      <w:r>
        <w:t>를</w:t>
      </w:r>
      <w:r>
        <w:rPr>
          <w:rFonts w:hint="eastAsia"/>
        </w:rPr>
        <w:t xml:space="preserve"> 검증할 수 있다. </w:t>
      </w:r>
    </w:p>
    <w:p w:rsidR="00C3035C" w:rsidRDefault="00C3035C" w:rsidP="00C3035C">
      <w:pPr>
        <w:spacing w:line="276" w:lineRule="auto"/>
        <w:ind w:firstLineChars="100" w:firstLine="200"/>
      </w:pPr>
      <w:r>
        <w:rPr>
          <w:rFonts w:hint="eastAsia"/>
        </w:rPr>
        <w:t xml:space="preserve">우리는 실증분석을 위해 다음 </w:t>
      </w:r>
      <w:r w:rsidR="00F85F29">
        <w:rPr>
          <w:rFonts w:hint="eastAsia"/>
        </w:rPr>
        <w:t>세</w:t>
      </w:r>
      <w:r>
        <w:rPr>
          <w:rFonts w:hint="eastAsia"/>
        </w:rPr>
        <w:t xml:space="preserve"> 개의 가설을 검증한다. 각 가설은 각 기관투자자의 거래시점 및 관련성</w:t>
      </w:r>
      <w:r w:rsidR="00E038F6">
        <w:rPr>
          <w:rFonts w:hint="eastAsia"/>
        </w:rPr>
        <w:t xml:space="preserve"> 그리고 전후 변동성의 움직임을 통해 정보거래자인지 판별하는 것을 목적으로 한다. </w:t>
      </w:r>
    </w:p>
    <w:p w:rsidR="002C7D06" w:rsidRDefault="002C7D06" w:rsidP="00CF6042">
      <w:pPr>
        <w:spacing w:line="276" w:lineRule="auto"/>
      </w:pPr>
    </w:p>
    <w:p w:rsidR="00746461" w:rsidRDefault="00746461" w:rsidP="00B07B20">
      <w:pPr>
        <w:spacing w:line="276" w:lineRule="auto"/>
        <w:ind w:firstLine="800"/>
        <w:rPr>
          <w:b/>
        </w:rPr>
      </w:pPr>
      <w:r>
        <w:rPr>
          <w:b/>
        </w:rPr>
        <w:t>H1</w:t>
      </w:r>
      <w:r>
        <w:rPr>
          <w:rFonts w:hint="eastAsia"/>
          <w:b/>
        </w:rPr>
        <w:t xml:space="preserve">: 각 거래자의 옵션시장 거래는 </w:t>
      </w:r>
      <w:proofErr w:type="spellStart"/>
      <w:r w:rsidR="00E038F6">
        <w:rPr>
          <w:rFonts w:hint="eastAsia"/>
          <w:b/>
        </w:rPr>
        <w:t>동시점</w:t>
      </w:r>
      <w:proofErr w:type="spellEnd"/>
      <w:r w:rsidR="00E038F6">
        <w:rPr>
          <w:rFonts w:hint="eastAsia"/>
          <w:b/>
        </w:rPr>
        <w:t xml:space="preserve"> </w:t>
      </w:r>
      <w:r>
        <w:rPr>
          <w:rFonts w:hint="eastAsia"/>
          <w:b/>
        </w:rPr>
        <w:t>변동성</w:t>
      </w:r>
      <w:r w:rsidR="007C1351">
        <w:rPr>
          <w:rFonts w:hint="eastAsia"/>
          <w:b/>
        </w:rPr>
        <w:t xml:space="preserve"> 변화와 </w:t>
      </w:r>
      <w:r>
        <w:rPr>
          <w:rFonts w:hint="eastAsia"/>
          <w:b/>
        </w:rPr>
        <w:t xml:space="preserve">유의한 </w:t>
      </w:r>
      <w:r w:rsidR="007C1351">
        <w:rPr>
          <w:rFonts w:hint="eastAsia"/>
          <w:b/>
        </w:rPr>
        <w:t>관련성을 가진다</w:t>
      </w:r>
      <w:r>
        <w:rPr>
          <w:rFonts w:hint="eastAsia"/>
          <w:b/>
        </w:rPr>
        <w:t>.</w:t>
      </w:r>
    </w:p>
    <w:p w:rsidR="002C7D06" w:rsidRDefault="002C7D06" w:rsidP="00CF6042">
      <w:pPr>
        <w:spacing w:line="276" w:lineRule="auto"/>
      </w:pPr>
    </w:p>
    <w:p w:rsidR="00E038F6" w:rsidRDefault="00E038F6" w:rsidP="00E038F6">
      <w:pPr>
        <w:spacing w:line="276" w:lineRule="auto"/>
        <w:ind w:firstLineChars="100" w:firstLine="200"/>
      </w:pPr>
      <w:r>
        <w:rPr>
          <w:rFonts w:hint="eastAsia"/>
        </w:rPr>
        <w:t xml:space="preserve">위 가설은 </w:t>
      </w:r>
      <w:r w:rsidR="001763E8">
        <w:rPr>
          <w:rFonts w:hint="eastAsia"/>
        </w:rPr>
        <w:t xml:space="preserve">각 기관투자자의 변동성 거래가 언제 이루어지는지 그리고 변동성에 영향을 미치고 </w:t>
      </w:r>
      <w:r w:rsidR="001763E8">
        <w:rPr>
          <w:rFonts w:hint="eastAsia"/>
        </w:rPr>
        <w:lastRenderedPageBreak/>
        <w:t xml:space="preserve">있는지 검증하는 것이다. 기관투자자의 거래와 변동성 변화의 인과관계에 대해 파악하기는 어렵지만 동일시점 회귀분석 등을 통해, 기관투자자의 거래강도가 변동성의 변화와 어떠한 관련성이 있는지 판단할 수 있다. 일반적을 변동성은 변동성 회귀현상(mean-reversion)이 관찰되기 때문에 회귀현상을 고려한 이후 각 기관투자자의 거래강도가 변동성 변화와 관련되어 있는지를 회귀분석을 통해 검증할 수 있다. </w:t>
      </w:r>
    </w:p>
    <w:p w:rsidR="00746461" w:rsidRDefault="001763E8" w:rsidP="00F85F29">
      <w:pPr>
        <w:spacing w:line="276" w:lineRule="auto"/>
        <w:ind w:firstLineChars="100" w:firstLine="200"/>
      </w:pPr>
      <w:r>
        <w:rPr>
          <w:rFonts w:hint="eastAsia"/>
        </w:rPr>
        <w:t xml:space="preserve">이 밖에도 </w:t>
      </w:r>
      <w:proofErr w:type="spellStart"/>
      <w:r>
        <w:rPr>
          <w:rFonts w:hint="eastAsia"/>
        </w:rPr>
        <w:t>Kaniel</w:t>
      </w:r>
      <w:proofErr w:type="spellEnd"/>
      <w:r>
        <w:rPr>
          <w:rFonts w:hint="eastAsia"/>
        </w:rPr>
        <w:t xml:space="preserve"> et al. (2008)</w:t>
      </w:r>
      <w:r>
        <w:t>의</w:t>
      </w:r>
      <w:r>
        <w:rPr>
          <w:rFonts w:hint="eastAsia"/>
        </w:rPr>
        <w:t xml:space="preserve"> 연구방법론을 이용하여, 각 거래주체의 매수매도 거래와 변동성 사이의 </w:t>
      </w:r>
      <w:proofErr w:type="spellStart"/>
      <w:r>
        <w:rPr>
          <w:rFonts w:hint="eastAsia"/>
        </w:rPr>
        <w:t>비대칭성</w:t>
      </w:r>
      <w:proofErr w:type="spellEnd"/>
      <w:r>
        <w:rPr>
          <w:rFonts w:hint="eastAsia"/>
        </w:rPr>
        <w:t xml:space="preserve"> </w:t>
      </w:r>
      <w:proofErr w:type="spellStart"/>
      <w:r>
        <w:rPr>
          <w:rFonts w:hint="eastAsia"/>
        </w:rPr>
        <w:t>관계을</w:t>
      </w:r>
      <w:proofErr w:type="spellEnd"/>
      <w:r>
        <w:rPr>
          <w:rFonts w:hint="eastAsia"/>
        </w:rPr>
        <w:t xml:space="preserve"> 검증하기 위하여, 각 거래주체의 </w:t>
      </w:r>
      <w:r w:rsidR="00F85F29">
        <w:rPr>
          <w:rFonts w:hint="eastAsia"/>
        </w:rPr>
        <w:t>매수/</w:t>
      </w:r>
      <w:proofErr w:type="spellStart"/>
      <w:r w:rsidR="00F85F29">
        <w:rPr>
          <w:rFonts w:hint="eastAsia"/>
        </w:rPr>
        <w:t>매도량의</w:t>
      </w:r>
      <w:proofErr w:type="spellEnd"/>
      <w:r w:rsidR="00F85F29">
        <w:rPr>
          <w:rFonts w:hint="eastAsia"/>
        </w:rPr>
        <w:t xml:space="preserve"> 차이를 기준으로 10개의 그룹(10 deciles)으로 나누고, 매수/매도가 강한 기간의 변동성 변화의 차이를 t-검증 통계량으로 검증한다. </w:t>
      </w:r>
    </w:p>
    <w:p w:rsidR="00746461" w:rsidRPr="00746461" w:rsidRDefault="00746461" w:rsidP="00CF6042">
      <w:pPr>
        <w:spacing w:line="276" w:lineRule="auto"/>
      </w:pPr>
    </w:p>
    <w:p w:rsidR="002C7D06" w:rsidRPr="00746461" w:rsidRDefault="00746461" w:rsidP="00B07B20">
      <w:pPr>
        <w:spacing w:line="276" w:lineRule="auto"/>
        <w:ind w:left="800"/>
        <w:rPr>
          <w:b/>
        </w:rPr>
      </w:pPr>
      <w:r w:rsidRPr="00746461">
        <w:rPr>
          <w:rFonts w:hint="eastAsia"/>
          <w:b/>
        </w:rPr>
        <w:t xml:space="preserve">H2: </w:t>
      </w:r>
      <w:r w:rsidRPr="00746461">
        <w:rPr>
          <w:b/>
        </w:rPr>
        <w:t>각</w:t>
      </w:r>
      <w:r w:rsidRPr="00746461">
        <w:rPr>
          <w:rFonts w:hint="eastAsia"/>
          <w:b/>
        </w:rPr>
        <w:t xml:space="preserve"> 거래자가 옵션시장 변동성</w:t>
      </w:r>
      <w:r w:rsidR="007C1351">
        <w:rPr>
          <w:rFonts w:hint="eastAsia"/>
          <w:b/>
        </w:rPr>
        <w:t xml:space="preserve"> 변화에 따라 취하는 거래전략은 </w:t>
      </w:r>
      <w:r w:rsidR="00F85F29">
        <w:rPr>
          <w:rFonts w:hint="eastAsia"/>
          <w:b/>
        </w:rPr>
        <w:t xml:space="preserve">상이하기 때문에 변동성 거래 </w:t>
      </w:r>
      <w:r w:rsidR="00F85F29" w:rsidRPr="00746461">
        <w:rPr>
          <w:rFonts w:hint="eastAsia"/>
          <w:b/>
        </w:rPr>
        <w:t>전</w:t>
      </w:r>
      <w:r w:rsidR="00F85F29" w:rsidRPr="00746461">
        <w:rPr>
          <w:rFonts w:asciiTheme="minorEastAsia" w:hAnsiTheme="minorEastAsia" w:hint="eastAsia"/>
          <w:b/>
        </w:rPr>
        <w:t>·</w:t>
      </w:r>
      <w:r w:rsidR="00F85F29" w:rsidRPr="00746461">
        <w:rPr>
          <w:rFonts w:hint="eastAsia"/>
          <w:b/>
        </w:rPr>
        <w:t>후의</w:t>
      </w:r>
      <w:r w:rsidR="00F85F29">
        <w:rPr>
          <w:rFonts w:hint="eastAsia"/>
          <w:b/>
        </w:rPr>
        <w:t xml:space="preserve"> 변동성 움직임도 다르다. </w:t>
      </w:r>
    </w:p>
    <w:p w:rsidR="00B07B20" w:rsidRDefault="00B07B20" w:rsidP="00B07B20">
      <w:pPr>
        <w:spacing w:line="276" w:lineRule="auto"/>
        <w:ind w:firstLineChars="100" w:firstLine="200"/>
      </w:pPr>
    </w:p>
    <w:p w:rsidR="00B07B20" w:rsidRDefault="00BF166D" w:rsidP="00B07B20">
      <w:pPr>
        <w:spacing w:line="276" w:lineRule="auto"/>
        <w:ind w:firstLineChars="100" w:firstLine="200"/>
      </w:pPr>
      <w:r>
        <w:rPr>
          <w:rFonts w:hint="eastAsia"/>
        </w:rPr>
        <w:t>투자자들의 거래전략에 대한 선행연구들은 대부분 투자자를 개인과 기관으로 분류하고, 신흥시장일 경우 기관투자자를 국내기관투자자와 외국인기관투자자로 분류하고 있다. 이는 개인투자자와 기관투자자의 거래동기 및 운용규모, 그리고 정보적 우월성 등에서 차이가 있기 때문이다. 변동성 거래에서도 각 기관투자자들의 거래행태 및 정보적 우월성을 판단하기 위하여, 매수/</w:t>
      </w:r>
      <w:proofErr w:type="spellStart"/>
      <w:r>
        <w:rPr>
          <w:rFonts w:hint="eastAsia"/>
        </w:rPr>
        <w:t>매도량의</w:t>
      </w:r>
      <w:proofErr w:type="spellEnd"/>
      <w:r>
        <w:rPr>
          <w:rFonts w:hint="eastAsia"/>
        </w:rPr>
        <w:t xml:space="preserve"> 차이를 기준으로 구분한 10개 그룹 중 매수/매도 강도가 큰 기간의 변동성 전후 변화를 분석한다. 대규모의 매수 또는 매도 거래가 있기 전 변동성의 변화와 거래 후의 변동성 변화를 관찰함으로써 언제 거래가 이루어지는지 그리고 변동성 거래를 통해 수익을 창출할 수 있는지 확인한다. </w:t>
      </w:r>
    </w:p>
    <w:p w:rsidR="00BF166D" w:rsidRDefault="00BF166D" w:rsidP="00BF166D">
      <w:pPr>
        <w:spacing w:line="276" w:lineRule="auto"/>
        <w:ind w:firstLineChars="100" w:firstLine="200"/>
      </w:pPr>
      <w:r>
        <w:rPr>
          <w:rFonts w:hint="eastAsia"/>
        </w:rPr>
        <w:t xml:space="preserve">또한 국내 </w:t>
      </w:r>
      <w:r w:rsidR="00B07B20" w:rsidRPr="00B07B20">
        <w:t xml:space="preserve">기관투자자라고 하더라도 거래동기와 목적을 살펴보면 차이가 존재하는 경우가 </w:t>
      </w:r>
      <w:r>
        <w:rPr>
          <w:rFonts w:hint="eastAsia"/>
        </w:rPr>
        <w:t>있다.</w:t>
      </w:r>
      <w:r w:rsidR="00B07B20" w:rsidRPr="00B07B20">
        <w:t xml:space="preserve"> 예를 들면, 증권회사그룹(금융투자회사)과 투신회사그룹(집합투자그룹)은 모두 </w:t>
      </w:r>
      <w:r>
        <w:rPr>
          <w:rFonts w:hint="eastAsia"/>
        </w:rPr>
        <w:t>국내</w:t>
      </w:r>
      <w:r w:rsidR="00B07B20" w:rsidRPr="00B07B20">
        <w:t>기관투자자로 분류되지만 거래목적은 상이</w:t>
      </w:r>
      <w:r>
        <w:rPr>
          <w:rFonts w:hint="eastAsia"/>
        </w:rPr>
        <w:t>하다</w:t>
      </w:r>
      <w:r w:rsidR="00B07B20" w:rsidRPr="00B07B20">
        <w:t>. 증권사는 주로 파생상품시장에서 직접 매매</w:t>
      </w:r>
      <w:r>
        <w:rPr>
          <w:rFonts w:hint="eastAsia"/>
        </w:rPr>
        <w:t>(prop trading)</w:t>
      </w:r>
      <w:r w:rsidR="00B07B20" w:rsidRPr="00B07B20">
        <w:t xml:space="preserve">를 통해 단기적인 수익을 창출하기 위한 매매를 수행한다. 특히, ELS(equity linked securities)나 DLS(derivative linked securities)와 같은 </w:t>
      </w:r>
      <w:proofErr w:type="spellStart"/>
      <w:r w:rsidR="00B07B20" w:rsidRPr="00B07B20">
        <w:t>대고객</w:t>
      </w:r>
      <w:proofErr w:type="spellEnd"/>
      <w:r w:rsidR="00B07B20" w:rsidRPr="00B07B20">
        <w:t xml:space="preserve"> </w:t>
      </w:r>
      <w:proofErr w:type="spellStart"/>
      <w:r w:rsidR="00B07B20" w:rsidRPr="00B07B20">
        <w:t>구조화상품</w:t>
      </w:r>
      <w:proofErr w:type="spellEnd"/>
      <w:r w:rsidR="00B07B20" w:rsidRPr="00B07B20">
        <w:t xml:space="preserve">(retail structured products)을 매도한 증권회사는 파생상품을 이용해 </w:t>
      </w:r>
      <w:proofErr w:type="spellStart"/>
      <w:r w:rsidR="00B07B20" w:rsidRPr="00B07B20">
        <w:t>헤지거래를</w:t>
      </w:r>
      <w:proofErr w:type="spellEnd"/>
      <w:r w:rsidR="00B07B20" w:rsidRPr="00B07B20">
        <w:t xml:space="preserve"> 수행하기도 한다. 반면 투신회사그룹은 일정기간 자금을 모집한 후 유가증권투자(파생상품 포함)에 전문적으로 운용하고 여기에 생긴 투자수익을 투자자에게 분배한다. 따라서 두 기관투자자의 서로 다른 특성으로 인해 변동성</w:t>
      </w:r>
      <w:r>
        <w:rPr>
          <w:rFonts w:hint="eastAsia"/>
        </w:rPr>
        <w:t xml:space="preserve"> 거래에서 큰 차이를 보일 </w:t>
      </w:r>
      <w:r w:rsidR="00B07B20" w:rsidRPr="00B07B20">
        <w:t xml:space="preserve">개연성이 </w:t>
      </w:r>
      <w:r>
        <w:rPr>
          <w:rFonts w:hint="eastAsia"/>
        </w:rPr>
        <w:t xml:space="preserve">크다. </w:t>
      </w:r>
    </w:p>
    <w:p w:rsidR="002C17EC" w:rsidRDefault="00BF166D" w:rsidP="00BF166D">
      <w:pPr>
        <w:spacing w:line="276" w:lineRule="auto"/>
        <w:ind w:firstLineChars="100" w:firstLine="200"/>
      </w:pPr>
      <w:r w:rsidRPr="00BF166D">
        <w:t xml:space="preserve">위 가설에 대한 실증분석의 </w:t>
      </w:r>
      <w:proofErr w:type="spellStart"/>
      <w:r w:rsidRPr="00BF166D">
        <w:t>강건성을</w:t>
      </w:r>
      <w:proofErr w:type="spellEnd"/>
      <w:r w:rsidRPr="00BF166D">
        <w:t xml:space="preserve"> 높이기 위해 두 가지 변수를 이용한다. 각 거래주체의 매수·매도 성향의 변화가 전체 거래량 또는 실현변동성에 포함된 정보일 수 있</w:t>
      </w:r>
      <w:r w:rsidR="002C17EC">
        <w:rPr>
          <w:rFonts w:hint="eastAsia"/>
        </w:rPr>
        <w:t xml:space="preserve">기 때문에 </w:t>
      </w:r>
      <w:r w:rsidRPr="00BF166D">
        <w:t xml:space="preserve">거래량이 변동성 변화에 영향을 주었음에도 불구하고 우연히 상관관계가 높은 특정 투자자의 거래성향이 </w:t>
      </w:r>
      <w:r w:rsidRPr="00BF166D">
        <w:lastRenderedPageBreak/>
        <w:t>이를 반영하여 유의한 결과를 제공할 수 있</w:t>
      </w:r>
      <w:r w:rsidR="002C17EC">
        <w:rPr>
          <w:rFonts w:hint="eastAsia"/>
        </w:rPr>
        <w:t xml:space="preserve">다. 또한 변동성의 변화가 실현변동성에 의한 결과일 수 있기 때문에 이를 확인하기 위해 </w:t>
      </w:r>
      <w:r w:rsidR="002C17EC" w:rsidRPr="00BF166D">
        <w:t>실제 위험의 크기를 실현변동성으로 정의하고 일주일간 5분 실현변동성을 계산하고 이 변수의 존재 하에서도 유의한 결과를 주는지 확인한다.</w:t>
      </w:r>
      <w:r w:rsidR="002C17EC">
        <w:rPr>
          <w:rFonts w:hint="eastAsia"/>
        </w:rPr>
        <w:t xml:space="preserve"> 만약 거래량 변수 및 실현변동성의 존재 하에서도 각 기관투자자의 거래강도가 변동성 변화와 유의한 관련성을 가진다면, 각 거래자의 투자전략의 차별성을 증명하는 결과가 된다. </w:t>
      </w:r>
    </w:p>
    <w:p w:rsidR="002C17EC" w:rsidRDefault="002C17EC" w:rsidP="00BF166D">
      <w:pPr>
        <w:spacing w:line="276" w:lineRule="auto"/>
        <w:ind w:firstLineChars="100" w:firstLine="200"/>
      </w:pPr>
    </w:p>
    <w:p w:rsidR="002C17EC" w:rsidRPr="00746461" w:rsidRDefault="002C17EC" w:rsidP="002C17EC">
      <w:pPr>
        <w:spacing w:line="276" w:lineRule="auto"/>
        <w:ind w:firstLine="800"/>
        <w:rPr>
          <w:b/>
        </w:rPr>
      </w:pPr>
      <w:r>
        <w:rPr>
          <w:rFonts w:hint="eastAsia"/>
          <w:b/>
        </w:rPr>
        <w:t>H3</w:t>
      </w:r>
      <w:r w:rsidRPr="00746461">
        <w:rPr>
          <w:rFonts w:hint="eastAsia"/>
          <w:b/>
        </w:rPr>
        <w:t>: 현물시장과 같이 외국인</w:t>
      </w:r>
      <w:r w:rsidR="009E0AF3" w:rsidRPr="009E0AF3">
        <w:rPr>
          <w:rFonts w:hint="eastAsia"/>
          <w:b/>
        </w:rPr>
        <w:t>기관</w:t>
      </w:r>
      <w:r w:rsidRPr="00746461">
        <w:rPr>
          <w:rFonts w:hint="eastAsia"/>
          <w:b/>
        </w:rPr>
        <w:t>투자자는 변동성 거래의 정보거래자이다.</w:t>
      </w:r>
    </w:p>
    <w:p w:rsidR="002C17EC" w:rsidRPr="009E0AF3" w:rsidRDefault="002C17EC" w:rsidP="002C17EC">
      <w:pPr>
        <w:spacing w:line="276" w:lineRule="auto"/>
      </w:pPr>
    </w:p>
    <w:p w:rsidR="00746461" w:rsidRDefault="002C17EC" w:rsidP="002C17EC">
      <w:pPr>
        <w:spacing w:line="276" w:lineRule="auto"/>
        <w:ind w:firstLineChars="100" w:firstLine="200"/>
      </w:pPr>
      <w:r>
        <w:rPr>
          <w:rFonts w:hint="eastAsia"/>
        </w:rPr>
        <w:t xml:space="preserve">마지막 가설은 기관투자자 중 외국인기관투자자가 기초자산 시장과 같이 변동성에 대한 정보거래자로 판별될 수 있는지를 나타낸다. </w:t>
      </w:r>
      <w:r w:rsidRPr="002C17EC">
        <w:t>Chang et al</w:t>
      </w:r>
      <w:proofErr w:type="gramStart"/>
      <w:r w:rsidRPr="002C17EC">
        <w:t>.(</w:t>
      </w:r>
      <w:proofErr w:type="gramEnd"/>
      <w:r w:rsidRPr="002C17EC">
        <w:t xml:space="preserve">2010)은 홍콩시장에 대해 외국 기관투자자가 변동성에 대한 우수한 정보력을 보유하고 있음을 보인바 있다. 본 연구에서는 </w:t>
      </w:r>
      <w:r>
        <w:rPr>
          <w:rFonts w:hint="eastAsia"/>
        </w:rPr>
        <w:t xml:space="preserve">국내기관투자자와 외국인 기관투자자를 별도로 분석함으로써, </w:t>
      </w:r>
      <w:r w:rsidRPr="002C17EC">
        <w:t>외국인</w:t>
      </w:r>
      <w:r w:rsidR="009E0AF3">
        <w:rPr>
          <w:rFonts w:hint="eastAsia"/>
        </w:rPr>
        <w:t>기관</w:t>
      </w:r>
      <w:r w:rsidRPr="002C17EC">
        <w:t xml:space="preserve">투자자가 우수한 정보력을 보유하고 있는지 </w:t>
      </w:r>
      <w:r>
        <w:rPr>
          <w:rFonts w:hint="eastAsia"/>
        </w:rPr>
        <w:t xml:space="preserve">그리고 이를 통해 수익을 창출할 수 있는지 </w:t>
      </w:r>
      <w:r>
        <w:t>검증</w:t>
      </w:r>
      <w:r>
        <w:rPr>
          <w:rFonts w:hint="eastAsia"/>
        </w:rPr>
        <w:t xml:space="preserve">한다.  </w:t>
      </w:r>
    </w:p>
    <w:p w:rsidR="009A55A8" w:rsidRDefault="009A55A8" w:rsidP="00CF6042">
      <w:pPr>
        <w:spacing w:line="276" w:lineRule="auto"/>
      </w:pPr>
    </w:p>
    <w:p w:rsidR="009A55A8" w:rsidRDefault="009A55A8" w:rsidP="00CF6042">
      <w:pPr>
        <w:spacing w:line="276" w:lineRule="auto"/>
      </w:pPr>
    </w:p>
    <w:p w:rsidR="002C7D06" w:rsidRPr="002C7D06" w:rsidRDefault="002C7D06" w:rsidP="00CF6042">
      <w:pPr>
        <w:pStyle w:val="a9"/>
        <w:numPr>
          <w:ilvl w:val="0"/>
          <w:numId w:val="1"/>
        </w:numPr>
        <w:spacing w:line="276" w:lineRule="auto"/>
        <w:ind w:leftChars="0"/>
        <w:rPr>
          <w:b/>
          <w:sz w:val="28"/>
        </w:rPr>
      </w:pPr>
      <w:r w:rsidRPr="002C7D06">
        <w:rPr>
          <w:rFonts w:hint="eastAsia"/>
          <w:b/>
          <w:sz w:val="28"/>
        </w:rPr>
        <w:t>자료 및 기관투자자의 거래강도</w:t>
      </w:r>
    </w:p>
    <w:p w:rsidR="002C7D06" w:rsidRPr="002C7D06" w:rsidRDefault="002C7D06" w:rsidP="00CF6042">
      <w:pPr>
        <w:spacing w:line="276" w:lineRule="auto"/>
        <w:rPr>
          <w:b/>
          <w:sz w:val="24"/>
        </w:rPr>
      </w:pPr>
      <w:r w:rsidRPr="002C7D06">
        <w:rPr>
          <w:rFonts w:hint="eastAsia"/>
          <w:b/>
          <w:sz w:val="24"/>
        </w:rPr>
        <w:t xml:space="preserve">3.1 자료 </w:t>
      </w:r>
    </w:p>
    <w:p w:rsidR="00201A72" w:rsidRDefault="00201A72" w:rsidP="00201A72">
      <w:pPr>
        <w:spacing w:line="276" w:lineRule="auto"/>
        <w:ind w:firstLineChars="100" w:firstLine="200"/>
      </w:pPr>
      <w:r w:rsidRPr="00201A72">
        <w:t xml:space="preserve">본 연구는 한국거래소(Korea Exchange, 이하 KRX)에서 거래되는 KOSPI 200 옵션의 거래자료를 이용한다. KOSPI 200 옵션과 기초자산에 대한 정보는 거래소를 통해 얻었으며, 내재변동성은 한국거래소에서 발표하는 VKOSPI200 지수와 </w:t>
      </w:r>
      <w:proofErr w:type="spellStart"/>
      <w:r w:rsidRPr="00201A72">
        <w:t>등가격옵션에서</w:t>
      </w:r>
      <w:proofErr w:type="spellEnd"/>
      <w:r w:rsidRPr="00201A72">
        <w:t xml:space="preserve"> 도출한 Black-</w:t>
      </w:r>
      <w:proofErr w:type="spellStart"/>
      <w:r w:rsidRPr="00201A72">
        <w:t>Scholes</w:t>
      </w:r>
      <w:proofErr w:type="spellEnd"/>
      <w:r w:rsidRPr="00201A72">
        <w:t xml:space="preserve"> 내재변동성</w:t>
      </w:r>
      <w:r>
        <w:rPr>
          <w:rFonts w:hint="eastAsia"/>
        </w:rPr>
        <w:t>(이하 BS 내재변동성)</w:t>
      </w:r>
      <w:r w:rsidRPr="00201A72">
        <w:t xml:space="preserve">을 </w:t>
      </w:r>
      <w:r>
        <w:rPr>
          <w:rFonts w:hint="eastAsia"/>
        </w:rPr>
        <w:t xml:space="preserve">모두 </w:t>
      </w:r>
      <w:r w:rsidRPr="00201A72">
        <w:t xml:space="preserve">사용한다. BS </w:t>
      </w:r>
      <w:r>
        <w:t>내재변동성</w:t>
      </w:r>
      <w:r>
        <w:rPr>
          <w:rFonts w:hint="eastAsia"/>
        </w:rPr>
        <w:t xml:space="preserve">에 대해서 </w:t>
      </w:r>
      <w:r w:rsidRPr="00201A72">
        <w:t xml:space="preserve">만기가 3일 미만 남아있는 옵션은 </w:t>
      </w:r>
      <w:proofErr w:type="spellStart"/>
      <w:r w:rsidRPr="00201A72">
        <w:t>차근월물로</w:t>
      </w:r>
      <w:proofErr w:type="spellEnd"/>
      <w:r w:rsidRPr="00201A72">
        <w:t xml:space="preserve"> 대체하</w:t>
      </w:r>
      <w:r>
        <w:rPr>
          <w:rFonts w:hint="eastAsia"/>
        </w:rPr>
        <w:t>여 계산되었다. 이는 BS 내재변동성을 이용하는 기존의 연구들과 일치된다 (</w:t>
      </w:r>
      <w:proofErr w:type="spellStart"/>
      <w:r>
        <w:rPr>
          <w:rFonts w:hint="eastAsia"/>
        </w:rPr>
        <w:t>Bakshi</w:t>
      </w:r>
      <w:proofErr w:type="spellEnd"/>
      <w:r>
        <w:rPr>
          <w:rFonts w:hint="eastAsia"/>
        </w:rPr>
        <w:t xml:space="preserve"> et al</w:t>
      </w:r>
      <w:proofErr w:type="gramStart"/>
      <w:r>
        <w:rPr>
          <w:rFonts w:hint="eastAsia"/>
        </w:rPr>
        <w:t>.,</w:t>
      </w:r>
      <w:proofErr w:type="gramEnd"/>
      <w:r>
        <w:rPr>
          <w:rFonts w:hint="eastAsia"/>
        </w:rPr>
        <w:t xml:space="preserve"> 1997 등). </w:t>
      </w:r>
      <w:r w:rsidRPr="00201A72">
        <w:t>VKOSPI</w:t>
      </w:r>
      <w:r>
        <w:rPr>
          <w:rFonts w:hint="eastAsia"/>
        </w:rPr>
        <w:t xml:space="preserve"> </w:t>
      </w:r>
      <w:r w:rsidRPr="00201A72">
        <w:t xml:space="preserve">200 지수는 기초자산을 KOSPI 200 지수로 하는 </w:t>
      </w:r>
      <w:proofErr w:type="spellStart"/>
      <w:r w:rsidRPr="00201A72">
        <w:t>최근월물</w:t>
      </w:r>
      <w:proofErr w:type="spellEnd"/>
      <w:r w:rsidRPr="00201A72">
        <w:t xml:space="preserve"> 및 </w:t>
      </w:r>
      <w:proofErr w:type="spellStart"/>
      <w:r w:rsidRPr="00201A72">
        <w:t>차근월물</w:t>
      </w:r>
      <w:proofErr w:type="spellEnd"/>
      <w:r w:rsidRPr="00201A72">
        <w:t xml:space="preserve"> </w:t>
      </w:r>
      <w:proofErr w:type="spellStart"/>
      <w:r w:rsidRPr="00201A72">
        <w:t>외가격</w:t>
      </w:r>
      <w:proofErr w:type="spellEnd"/>
      <w:r w:rsidRPr="00201A72">
        <w:t xml:space="preserve"> 옵션을 이용해, 잔존만기가 30일 남은 가상적인 옵션의 모형독립내재변동성(model-free implied volatility)을 계산하고 여기에 100을 곱한 값과 같다. 연구자료는 KRX가 투자자 별 거래자료를 제공하기 시작한 2004년 1월부터 2011년 12월까지 총 8년의 기간을 포함한다. </w:t>
      </w:r>
    </w:p>
    <w:p w:rsidR="00201A72" w:rsidRPr="00201A72" w:rsidRDefault="00201A72" w:rsidP="00201A72">
      <w:pPr>
        <w:spacing w:line="276" w:lineRule="auto"/>
        <w:ind w:firstLineChars="100" w:firstLine="200"/>
      </w:pPr>
      <w:r w:rsidRPr="00201A72">
        <w:t xml:space="preserve">&lt;표 1&gt;은 본 연구에서 사용된 옵션의 VKOSPI 지수의 기초통계량과 </w:t>
      </w:r>
      <w:proofErr w:type="spellStart"/>
      <w:r w:rsidRPr="00201A72">
        <w:t>단위근</w:t>
      </w:r>
      <w:proofErr w:type="spellEnd"/>
      <w:r w:rsidRPr="00201A72">
        <w:t xml:space="preserve"> 검정결과를 보여준다. 전 분석은 </w:t>
      </w:r>
      <w:proofErr w:type="spellStart"/>
      <w:r w:rsidRPr="00201A72">
        <w:t>등가격</w:t>
      </w:r>
      <w:proofErr w:type="spellEnd"/>
      <w:r w:rsidRPr="00201A72">
        <w:t xml:space="preserve"> BS 옵션의 내재변동성에 대해서도 동일하게 수행하였으나, 결과의 유사성으로 인하여 본문에서 생략해주었다. 패널 A에 따르면, 표본기간 동안 VKOSPI 지수는 25.1973의 평균값을 가졌으며, 표준편차는 9.58, </w:t>
      </w:r>
      <w:proofErr w:type="spellStart"/>
      <w:r w:rsidRPr="00201A72">
        <w:t>왜도와</w:t>
      </w:r>
      <w:proofErr w:type="spellEnd"/>
      <w:r w:rsidRPr="00201A72">
        <w:t xml:space="preserve"> </w:t>
      </w:r>
      <w:proofErr w:type="spellStart"/>
      <w:r w:rsidRPr="00201A72">
        <w:t>첨도는</w:t>
      </w:r>
      <w:proofErr w:type="spellEnd"/>
      <w:r w:rsidRPr="00201A72">
        <w:t xml:space="preserve"> 각각 2.2, 9.1</w:t>
      </w:r>
      <w:proofErr w:type="spellStart"/>
      <w:r w:rsidRPr="00201A72">
        <w:t>으로</w:t>
      </w:r>
      <w:proofErr w:type="spellEnd"/>
      <w:r w:rsidRPr="00201A72">
        <w:t xml:space="preserve"> </w:t>
      </w:r>
      <w:proofErr w:type="spellStart"/>
      <w:r w:rsidRPr="00201A72">
        <w:t>정규성을</w:t>
      </w:r>
      <w:proofErr w:type="spellEnd"/>
      <w:r w:rsidRPr="00201A72">
        <w:t xml:space="preserve"> 크게 벗어나는 것으로 나타났다. </w:t>
      </w:r>
      <w:proofErr w:type="spellStart"/>
      <w:r w:rsidRPr="00201A72">
        <w:t>정규성을</w:t>
      </w:r>
      <w:proofErr w:type="spellEnd"/>
      <w:r w:rsidRPr="00201A72">
        <w:t xml:space="preserve"> 검증하는 통계량 </w:t>
      </w:r>
      <w:proofErr w:type="spellStart"/>
      <w:r w:rsidRPr="00201A72">
        <w:t>Jarque-Bera</w:t>
      </w:r>
      <w:proofErr w:type="spellEnd"/>
      <w:r w:rsidRPr="00201A72">
        <w:t xml:space="preserve"> 통계량의 p-값은 0.001과 같다. </w:t>
      </w:r>
      <w:proofErr w:type="spellStart"/>
      <w:r w:rsidRPr="00201A72">
        <w:t>단위근</w:t>
      </w:r>
      <w:proofErr w:type="spellEnd"/>
      <w:r w:rsidRPr="00201A72">
        <w:t xml:space="preserve"> 검정 결과, VKOSPI에 </w:t>
      </w:r>
      <w:proofErr w:type="spellStart"/>
      <w:r w:rsidRPr="00201A72">
        <w:t>단위근이</w:t>
      </w:r>
      <w:proofErr w:type="spellEnd"/>
      <w:r w:rsidRPr="00201A72">
        <w:t xml:space="preserve"> 존재한다는 </w:t>
      </w:r>
      <w:proofErr w:type="spellStart"/>
      <w:r w:rsidRPr="00201A72">
        <w:t>귀무가설과</w:t>
      </w:r>
      <w:proofErr w:type="spellEnd"/>
      <w:r w:rsidRPr="00201A72">
        <w:t xml:space="preserve"> 존재하지 않는다는 </w:t>
      </w:r>
      <w:proofErr w:type="spellStart"/>
      <w:r w:rsidRPr="00201A72">
        <w:t>귀무가설을</w:t>
      </w:r>
      <w:proofErr w:type="spellEnd"/>
      <w:r w:rsidRPr="00201A72">
        <w:t xml:space="preserve"> 모두 기각하였다. 따라서 향후 분석에서 차분하지 않은 결과와 차분한 결과를 모두 보고하였다. </w:t>
      </w:r>
    </w:p>
    <w:p w:rsidR="00201A72" w:rsidRPr="00201A72" w:rsidRDefault="00201A72" w:rsidP="00201A72">
      <w:pPr>
        <w:spacing w:line="276" w:lineRule="auto"/>
        <w:ind w:firstLineChars="100" w:firstLine="200"/>
      </w:pPr>
      <w:r w:rsidRPr="00201A72">
        <w:lastRenderedPageBreak/>
        <w:t xml:space="preserve">패널 B는 표본기간 동안 연도별 VKOSPI 내재변동성의 평균을 보여준다. VKOSPI 지수도 19에서 25 사이의 값이 관찰되었으며, 금융위기 기간에 35이상으로 상승하기도 하였다. </w:t>
      </w:r>
    </w:p>
    <w:p w:rsidR="00746461" w:rsidRDefault="00746461" w:rsidP="002C7D06"/>
    <w:p w:rsidR="00201A72" w:rsidRDefault="00201A72" w:rsidP="002C7D06"/>
    <w:p w:rsidR="00746461" w:rsidRDefault="00746461" w:rsidP="00746461">
      <w:pPr>
        <w:jc w:val="center"/>
        <w:rPr>
          <w:b/>
        </w:rPr>
      </w:pPr>
      <w:r>
        <w:rPr>
          <w:rFonts w:hint="eastAsia"/>
          <w:b/>
        </w:rPr>
        <w:t>&lt;</w:t>
      </w:r>
      <w:r w:rsidRPr="00746461">
        <w:rPr>
          <w:b/>
        </w:rPr>
        <w:t>표 1</w:t>
      </w:r>
      <w:r>
        <w:rPr>
          <w:rFonts w:hint="eastAsia"/>
          <w:b/>
        </w:rPr>
        <w:t>&gt;</w:t>
      </w:r>
      <w:r w:rsidRPr="00746461">
        <w:rPr>
          <w:b/>
        </w:rPr>
        <w:t xml:space="preserve"> VKOSPI200 지수의 기초통계량</w:t>
      </w:r>
    </w:p>
    <w:p w:rsidR="00746461" w:rsidRPr="00746461" w:rsidRDefault="00746461" w:rsidP="00746461">
      <w:pPr>
        <w:rPr>
          <w:b/>
        </w:rPr>
      </w:pPr>
      <w:r w:rsidRPr="00746461">
        <w:t xml:space="preserve">표 1은 2004년 1월부터 2011년 12월까지의 VKOSPI200 지수의 특성을 보여준다. 괄호 안의 값은 정규분포를 검증하는 </w:t>
      </w:r>
      <w:proofErr w:type="spellStart"/>
      <w:r w:rsidRPr="00746461">
        <w:t>Jarque-Bera</w:t>
      </w:r>
      <w:proofErr w:type="spellEnd"/>
      <w:r w:rsidRPr="00746461">
        <w:t xml:space="preserve"> 통계량의 p-값을 나타낸다. </w:t>
      </w:r>
      <w:proofErr w:type="spellStart"/>
      <w:r w:rsidRPr="00746461">
        <w:t>단위근</w:t>
      </w:r>
      <w:proofErr w:type="spellEnd"/>
      <w:r w:rsidRPr="00746461">
        <w:t xml:space="preserve"> </w:t>
      </w:r>
      <w:proofErr w:type="spellStart"/>
      <w:r w:rsidRPr="00746461">
        <w:t>검정법은</w:t>
      </w:r>
      <w:proofErr w:type="spellEnd"/>
      <w:r w:rsidRPr="00746461">
        <w:t xml:space="preserve"> Dickey-Fuller 테스트를 사용하였으며, 안정성(</w:t>
      </w:r>
      <w:proofErr w:type="spellStart"/>
      <w:r w:rsidRPr="00746461">
        <w:t>stationarity</w:t>
      </w:r>
      <w:proofErr w:type="spellEnd"/>
      <w:r w:rsidRPr="00746461">
        <w:t>) 검증은 Kwiatkowski et al</w:t>
      </w:r>
      <w:proofErr w:type="gramStart"/>
      <w:r w:rsidRPr="00746461">
        <w:t>.(</w:t>
      </w:r>
      <w:proofErr w:type="gramEnd"/>
      <w:r w:rsidRPr="00746461">
        <w:t xml:space="preserve">1992)의 방법론을 사용한다. </w:t>
      </w:r>
      <w:proofErr w:type="spellStart"/>
      <w:r w:rsidRPr="00746461">
        <w:t>단위근</w:t>
      </w:r>
      <w:proofErr w:type="spellEnd"/>
      <w:r w:rsidRPr="00746461">
        <w:t xml:space="preserve"> 검정의 </w:t>
      </w:r>
      <w:proofErr w:type="spellStart"/>
      <w:r w:rsidRPr="00746461">
        <w:t>귀무가설은</w:t>
      </w:r>
      <w:proofErr w:type="spellEnd"/>
      <w:r w:rsidRPr="00746461">
        <w:t xml:space="preserve"> </w:t>
      </w:r>
      <w:r w:rsidRPr="00746461">
        <w:object w:dxaOrig="120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1.1pt;height:18.4pt" o:ole="">
            <v:imagedata r:id="rId9" o:title=""/>
          </v:shape>
          <o:OLEObject Type="Embed" ProgID="Equation.DSMT4" ShapeID="_x0000_i1025" DrawAspect="Content" ObjectID="_1463777614" r:id="rId10"/>
        </w:object>
      </w:r>
      <w:r w:rsidRPr="00746461">
        <w:t xml:space="preserve">이며, </w:t>
      </w:r>
      <w:r w:rsidRPr="00746461">
        <w:object w:dxaOrig="1740" w:dyaOrig="360">
          <v:shape id="_x0000_i1026" type="#_x0000_t75" style="width:87.05pt;height:18.4pt" o:ole="">
            <v:imagedata r:id="rId11" o:title=""/>
          </v:shape>
          <o:OLEObject Type="Embed" ProgID="Equation.DSMT4" ShapeID="_x0000_i1026" DrawAspect="Content" ObjectID="_1463777615" r:id="rId12"/>
        </w:object>
      </w:r>
      <w:r w:rsidRPr="00746461">
        <w:t xml:space="preserve">식을 통해 검증하였다.  *, **, *** 는 각각 10%, 5%, 1%의 신뢰수준 유의성을 나타낸다. </w:t>
      </w:r>
    </w:p>
    <w:p w:rsidR="00746461" w:rsidRPr="00746461" w:rsidRDefault="00746461" w:rsidP="00746461">
      <w:r w:rsidRPr="00746461">
        <w:rPr>
          <w:b/>
        </w:rPr>
        <w:t xml:space="preserve">Panel A. 기초통계량                    </w:t>
      </w:r>
    </w:p>
    <w:tbl>
      <w:tblPr>
        <w:tblStyle w:val="ac"/>
        <w:tblW w:w="5000" w:type="pct"/>
        <w:tblBorders>
          <w:left w:val="none" w:sz="0" w:space="0" w:color="auto"/>
          <w:right w:val="none" w:sz="0" w:space="0" w:color="auto"/>
          <w:insideV w:val="none" w:sz="0" w:space="0" w:color="auto"/>
        </w:tblBorders>
        <w:tblLook w:val="04A0"/>
      </w:tblPr>
      <w:tblGrid>
        <w:gridCol w:w="4734"/>
        <w:gridCol w:w="4508"/>
      </w:tblGrid>
      <w:tr w:rsidR="00746461" w:rsidRPr="00746461" w:rsidTr="00392C84">
        <w:tc>
          <w:tcPr>
            <w:tcW w:w="2561" w:type="pct"/>
            <w:tcBorders>
              <w:bottom w:val="single" w:sz="4" w:space="0" w:color="auto"/>
            </w:tcBorders>
            <w:vAlign w:val="center"/>
          </w:tcPr>
          <w:p w:rsidR="00746461" w:rsidRPr="00746461" w:rsidRDefault="00746461" w:rsidP="00746461">
            <w:r w:rsidRPr="00746461">
              <w:t>통계량</w:t>
            </w:r>
          </w:p>
        </w:tc>
        <w:tc>
          <w:tcPr>
            <w:tcW w:w="2439" w:type="pct"/>
            <w:tcBorders>
              <w:bottom w:val="single" w:sz="4" w:space="0" w:color="auto"/>
            </w:tcBorders>
          </w:tcPr>
          <w:p w:rsidR="00746461" w:rsidRPr="00746461" w:rsidRDefault="00746461" w:rsidP="00746461">
            <w:r w:rsidRPr="00746461">
              <w:t>VKOSPI 200</w:t>
            </w:r>
          </w:p>
        </w:tc>
      </w:tr>
      <w:tr w:rsidR="00746461" w:rsidRPr="00746461" w:rsidTr="00392C84">
        <w:tc>
          <w:tcPr>
            <w:tcW w:w="2561" w:type="pct"/>
            <w:tcBorders>
              <w:bottom w:val="nil"/>
            </w:tcBorders>
            <w:vAlign w:val="center"/>
          </w:tcPr>
          <w:p w:rsidR="00746461" w:rsidRPr="00746461" w:rsidRDefault="00746461" w:rsidP="00746461">
            <w:r w:rsidRPr="00746461">
              <w:t xml:space="preserve"> Mean</w:t>
            </w:r>
          </w:p>
        </w:tc>
        <w:tc>
          <w:tcPr>
            <w:tcW w:w="2439" w:type="pct"/>
            <w:tcBorders>
              <w:bottom w:val="nil"/>
            </w:tcBorders>
            <w:vAlign w:val="center"/>
          </w:tcPr>
          <w:p w:rsidR="00746461" w:rsidRPr="00746461" w:rsidRDefault="00746461" w:rsidP="00746461">
            <w:r w:rsidRPr="00746461">
              <w:t>25.1973</w:t>
            </w:r>
          </w:p>
        </w:tc>
      </w:tr>
      <w:tr w:rsidR="00746461" w:rsidRPr="00746461" w:rsidTr="00392C84">
        <w:tc>
          <w:tcPr>
            <w:tcW w:w="2561" w:type="pct"/>
            <w:tcBorders>
              <w:top w:val="nil"/>
              <w:bottom w:val="nil"/>
            </w:tcBorders>
            <w:vAlign w:val="center"/>
          </w:tcPr>
          <w:p w:rsidR="00746461" w:rsidRPr="00746461" w:rsidRDefault="00746461" w:rsidP="00746461">
            <w:r w:rsidRPr="00746461">
              <w:t>S.D.</w:t>
            </w:r>
          </w:p>
        </w:tc>
        <w:tc>
          <w:tcPr>
            <w:tcW w:w="2439" w:type="pct"/>
            <w:tcBorders>
              <w:top w:val="nil"/>
              <w:bottom w:val="nil"/>
            </w:tcBorders>
            <w:vAlign w:val="center"/>
          </w:tcPr>
          <w:p w:rsidR="00746461" w:rsidRPr="00746461" w:rsidRDefault="00746461" w:rsidP="00746461">
            <w:r w:rsidRPr="00746461">
              <w:t>9.5829</w:t>
            </w:r>
          </w:p>
        </w:tc>
      </w:tr>
      <w:tr w:rsidR="00746461" w:rsidRPr="00746461" w:rsidTr="00392C84">
        <w:tc>
          <w:tcPr>
            <w:tcW w:w="2561" w:type="pct"/>
            <w:tcBorders>
              <w:top w:val="nil"/>
              <w:bottom w:val="nil"/>
            </w:tcBorders>
            <w:vAlign w:val="center"/>
          </w:tcPr>
          <w:p w:rsidR="00746461" w:rsidRPr="00746461" w:rsidRDefault="00746461" w:rsidP="00746461">
            <w:proofErr w:type="spellStart"/>
            <w:r w:rsidRPr="00746461">
              <w:t>Skewness</w:t>
            </w:r>
            <w:proofErr w:type="spellEnd"/>
          </w:p>
        </w:tc>
        <w:tc>
          <w:tcPr>
            <w:tcW w:w="2439" w:type="pct"/>
            <w:tcBorders>
              <w:top w:val="nil"/>
              <w:bottom w:val="nil"/>
            </w:tcBorders>
            <w:vAlign w:val="center"/>
          </w:tcPr>
          <w:p w:rsidR="00746461" w:rsidRPr="00746461" w:rsidRDefault="00746461" w:rsidP="00746461">
            <w:r w:rsidRPr="00746461">
              <w:t>2.2098</w:t>
            </w:r>
          </w:p>
        </w:tc>
      </w:tr>
      <w:tr w:rsidR="00746461" w:rsidRPr="00746461" w:rsidTr="00392C84">
        <w:tc>
          <w:tcPr>
            <w:tcW w:w="2561" w:type="pct"/>
            <w:tcBorders>
              <w:top w:val="nil"/>
              <w:bottom w:val="nil"/>
            </w:tcBorders>
            <w:vAlign w:val="center"/>
          </w:tcPr>
          <w:p w:rsidR="00746461" w:rsidRPr="00746461" w:rsidRDefault="00746461" w:rsidP="00746461">
            <w:r w:rsidRPr="00746461">
              <w:t>Kurtosis</w:t>
            </w:r>
          </w:p>
        </w:tc>
        <w:tc>
          <w:tcPr>
            <w:tcW w:w="2439" w:type="pct"/>
            <w:tcBorders>
              <w:top w:val="nil"/>
              <w:bottom w:val="nil"/>
            </w:tcBorders>
            <w:vAlign w:val="center"/>
          </w:tcPr>
          <w:p w:rsidR="00746461" w:rsidRPr="00746461" w:rsidRDefault="00746461" w:rsidP="00746461">
            <w:r w:rsidRPr="00746461">
              <w:t>9.1239</w:t>
            </w:r>
          </w:p>
        </w:tc>
      </w:tr>
      <w:tr w:rsidR="00746461" w:rsidRPr="00746461" w:rsidTr="00392C84">
        <w:tc>
          <w:tcPr>
            <w:tcW w:w="2561" w:type="pct"/>
            <w:tcBorders>
              <w:top w:val="nil"/>
              <w:bottom w:val="nil"/>
            </w:tcBorders>
            <w:vAlign w:val="center"/>
          </w:tcPr>
          <w:p w:rsidR="00746461" w:rsidRPr="00746461" w:rsidRDefault="00746461" w:rsidP="00746461">
            <w:r w:rsidRPr="00746461">
              <w:t>Max</w:t>
            </w:r>
          </w:p>
        </w:tc>
        <w:tc>
          <w:tcPr>
            <w:tcW w:w="2439" w:type="pct"/>
            <w:tcBorders>
              <w:top w:val="nil"/>
              <w:bottom w:val="nil"/>
            </w:tcBorders>
            <w:vAlign w:val="center"/>
          </w:tcPr>
          <w:p w:rsidR="00746461" w:rsidRPr="00746461" w:rsidRDefault="00746461" w:rsidP="00746461">
            <w:r w:rsidRPr="00746461">
              <w:t>73.00</w:t>
            </w:r>
          </w:p>
        </w:tc>
      </w:tr>
      <w:tr w:rsidR="00746461" w:rsidRPr="00746461" w:rsidTr="00392C84">
        <w:tc>
          <w:tcPr>
            <w:tcW w:w="2561" w:type="pct"/>
            <w:tcBorders>
              <w:top w:val="nil"/>
              <w:bottom w:val="nil"/>
            </w:tcBorders>
            <w:vAlign w:val="center"/>
          </w:tcPr>
          <w:p w:rsidR="00746461" w:rsidRPr="00746461" w:rsidRDefault="00746461" w:rsidP="00746461">
            <w:r w:rsidRPr="00746461">
              <w:t>Min</w:t>
            </w:r>
          </w:p>
        </w:tc>
        <w:tc>
          <w:tcPr>
            <w:tcW w:w="2439" w:type="pct"/>
            <w:tcBorders>
              <w:top w:val="nil"/>
              <w:bottom w:val="nil"/>
            </w:tcBorders>
            <w:vAlign w:val="center"/>
          </w:tcPr>
          <w:p w:rsidR="00746461" w:rsidRPr="00746461" w:rsidRDefault="00746461" w:rsidP="00746461">
            <w:r w:rsidRPr="00746461">
              <w:t>14.23</w:t>
            </w:r>
          </w:p>
        </w:tc>
      </w:tr>
      <w:tr w:rsidR="00746461" w:rsidRPr="00746461" w:rsidTr="00392C84">
        <w:tc>
          <w:tcPr>
            <w:tcW w:w="2561" w:type="pct"/>
            <w:tcBorders>
              <w:top w:val="nil"/>
              <w:bottom w:val="nil"/>
            </w:tcBorders>
            <w:vAlign w:val="center"/>
          </w:tcPr>
          <w:p w:rsidR="00746461" w:rsidRPr="00746461" w:rsidRDefault="00746461" w:rsidP="00746461">
            <w:r w:rsidRPr="00746461">
              <w:t>Serial corr.</w:t>
            </w:r>
          </w:p>
        </w:tc>
        <w:tc>
          <w:tcPr>
            <w:tcW w:w="2439" w:type="pct"/>
            <w:tcBorders>
              <w:top w:val="nil"/>
              <w:bottom w:val="nil"/>
            </w:tcBorders>
            <w:vAlign w:val="center"/>
          </w:tcPr>
          <w:p w:rsidR="00746461" w:rsidRPr="00746461" w:rsidRDefault="00746461" w:rsidP="00746461">
            <w:r w:rsidRPr="00746461">
              <w:t>0.9525</w:t>
            </w:r>
          </w:p>
        </w:tc>
      </w:tr>
      <w:tr w:rsidR="00746461" w:rsidRPr="00746461" w:rsidTr="00392C84">
        <w:tc>
          <w:tcPr>
            <w:tcW w:w="2561" w:type="pct"/>
            <w:tcBorders>
              <w:top w:val="nil"/>
              <w:bottom w:val="single" w:sz="4" w:space="0" w:color="auto"/>
            </w:tcBorders>
            <w:vAlign w:val="center"/>
          </w:tcPr>
          <w:p w:rsidR="00746461" w:rsidRPr="00746461" w:rsidRDefault="00746461" w:rsidP="00746461">
            <w:proofErr w:type="spellStart"/>
            <w:r w:rsidRPr="00746461">
              <w:t>Jarque-Bera</w:t>
            </w:r>
            <w:proofErr w:type="spellEnd"/>
            <w:r w:rsidRPr="00746461">
              <w:t xml:space="preserve"> statistics</w:t>
            </w:r>
          </w:p>
        </w:tc>
        <w:tc>
          <w:tcPr>
            <w:tcW w:w="2439" w:type="pct"/>
            <w:tcBorders>
              <w:top w:val="nil"/>
              <w:bottom w:val="single" w:sz="4" w:space="0" w:color="auto"/>
            </w:tcBorders>
            <w:vAlign w:val="center"/>
          </w:tcPr>
          <w:p w:rsidR="00746461" w:rsidRPr="00746461" w:rsidRDefault="00746461" w:rsidP="00746461">
            <w:r w:rsidRPr="00746461">
              <w:t>945.85*** (0.001)</w:t>
            </w:r>
          </w:p>
        </w:tc>
      </w:tr>
      <w:tr w:rsidR="00746461" w:rsidRPr="00746461" w:rsidTr="00392C84">
        <w:tc>
          <w:tcPr>
            <w:tcW w:w="2561" w:type="pct"/>
            <w:tcBorders>
              <w:top w:val="single" w:sz="4" w:space="0" w:color="auto"/>
              <w:bottom w:val="single" w:sz="4" w:space="0" w:color="auto"/>
            </w:tcBorders>
            <w:vAlign w:val="center"/>
          </w:tcPr>
          <w:p w:rsidR="00746461" w:rsidRPr="00746461" w:rsidRDefault="00746461" w:rsidP="00746461">
            <w:pPr>
              <w:rPr>
                <w:b/>
              </w:rPr>
            </w:pPr>
            <w:r w:rsidRPr="00746461">
              <w:rPr>
                <w:b/>
              </w:rPr>
              <w:t>Test statistics</w:t>
            </w:r>
          </w:p>
        </w:tc>
        <w:tc>
          <w:tcPr>
            <w:tcW w:w="2439" w:type="pct"/>
            <w:tcBorders>
              <w:top w:val="single" w:sz="4" w:space="0" w:color="auto"/>
              <w:bottom w:val="single" w:sz="4" w:space="0" w:color="auto"/>
            </w:tcBorders>
          </w:tcPr>
          <w:p w:rsidR="00746461" w:rsidRPr="00746461" w:rsidRDefault="00746461" w:rsidP="00746461"/>
        </w:tc>
      </w:tr>
      <w:tr w:rsidR="00746461" w:rsidRPr="00746461" w:rsidTr="00392C84">
        <w:tc>
          <w:tcPr>
            <w:tcW w:w="2561" w:type="pct"/>
            <w:tcBorders>
              <w:top w:val="single" w:sz="4" w:space="0" w:color="auto"/>
              <w:bottom w:val="nil"/>
            </w:tcBorders>
            <w:vAlign w:val="center"/>
          </w:tcPr>
          <w:p w:rsidR="00746461" w:rsidRPr="00746461" w:rsidRDefault="00746461" w:rsidP="00746461">
            <w:r w:rsidRPr="00746461">
              <w:t>H0: Unit root</w:t>
            </w:r>
          </w:p>
        </w:tc>
        <w:tc>
          <w:tcPr>
            <w:tcW w:w="2439" w:type="pct"/>
            <w:tcBorders>
              <w:top w:val="single" w:sz="4" w:space="0" w:color="auto"/>
              <w:bottom w:val="nil"/>
            </w:tcBorders>
            <w:vAlign w:val="center"/>
          </w:tcPr>
          <w:p w:rsidR="00746461" w:rsidRPr="00746461" w:rsidRDefault="00746461" w:rsidP="00746461">
            <w:r w:rsidRPr="00746461">
              <w:t>-3.1053***</w:t>
            </w:r>
          </w:p>
        </w:tc>
      </w:tr>
      <w:tr w:rsidR="00746461" w:rsidRPr="00746461" w:rsidTr="00392C84">
        <w:tc>
          <w:tcPr>
            <w:tcW w:w="2561" w:type="pct"/>
            <w:tcBorders>
              <w:top w:val="nil"/>
            </w:tcBorders>
            <w:vAlign w:val="center"/>
          </w:tcPr>
          <w:p w:rsidR="00746461" w:rsidRPr="00746461" w:rsidRDefault="00746461" w:rsidP="00746461">
            <w:r w:rsidRPr="00746461">
              <w:t>H0: Stationary</w:t>
            </w:r>
          </w:p>
        </w:tc>
        <w:tc>
          <w:tcPr>
            <w:tcW w:w="2439" w:type="pct"/>
            <w:tcBorders>
              <w:top w:val="nil"/>
            </w:tcBorders>
            <w:vAlign w:val="center"/>
          </w:tcPr>
          <w:p w:rsidR="00746461" w:rsidRPr="00746461" w:rsidRDefault="00746461" w:rsidP="00746461">
            <w:r w:rsidRPr="00746461">
              <w:t>1.9219***</w:t>
            </w:r>
          </w:p>
        </w:tc>
      </w:tr>
    </w:tbl>
    <w:p w:rsidR="00746461" w:rsidRPr="00201A72" w:rsidRDefault="00746461" w:rsidP="00746461">
      <w:pPr>
        <w:rPr>
          <w:b/>
          <w:sz w:val="10"/>
        </w:rPr>
      </w:pPr>
    </w:p>
    <w:p w:rsidR="00746461" w:rsidRPr="00746461" w:rsidRDefault="00746461" w:rsidP="00746461">
      <w:r w:rsidRPr="00746461">
        <w:rPr>
          <w:b/>
        </w:rPr>
        <w:t>Panel B. 연도별 내재변동성 평균</w:t>
      </w:r>
    </w:p>
    <w:tbl>
      <w:tblPr>
        <w:tblStyle w:val="ac"/>
        <w:tblW w:w="5000" w:type="pct"/>
        <w:tblBorders>
          <w:left w:val="none" w:sz="0" w:space="0" w:color="auto"/>
          <w:right w:val="none" w:sz="0" w:space="0" w:color="auto"/>
          <w:insideV w:val="none" w:sz="0" w:space="0" w:color="auto"/>
        </w:tblBorders>
        <w:tblLook w:val="04A0"/>
      </w:tblPr>
      <w:tblGrid>
        <w:gridCol w:w="5024"/>
        <w:gridCol w:w="4218"/>
      </w:tblGrid>
      <w:tr w:rsidR="00746461" w:rsidRPr="00746461" w:rsidTr="00392C84">
        <w:tc>
          <w:tcPr>
            <w:tcW w:w="2718" w:type="pct"/>
            <w:tcBorders>
              <w:bottom w:val="single" w:sz="4" w:space="0" w:color="auto"/>
            </w:tcBorders>
          </w:tcPr>
          <w:p w:rsidR="00746461" w:rsidRPr="00746461" w:rsidRDefault="00746461" w:rsidP="00746461">
            <w:r w:rsidRPr="00746461">
              <w:t>연도</w:t>
            </w:r>
          </w:p>
        </w:tc>
        <w:tc>
          <w:tcPr>
            <w:tcW w:w="2282" w:type="pct"/>
            <w:tcBorders>
              <w:bottom w:val="single" w:sz="4" w:space="0" w:color="auto"/>
            </w:tcBorders>
          </w:tcPr>
          <w:p w:rsidR="00746461" w:rsidRPr="00746461" w:rsidRDefault="00746461" w:rsidP="00746461">
            <w:r w:rsidRPr="00746461">
              <w:t>VKOSPI 200</w:t>
            </w:r>
          </w:p>
        </w:tc>
      </w:tr>
      <w:tr w:rsidR="00746461" w:rsidRPr="00746461" w:rsidTr="00392C84">
        <w:tc>
          <w:tcPr>
            <w:tcW w:w="2718" w:type="pct"/>
            <w:tcBorders>
              <w:bottom w:val="nil"/>
            </w:tcBorders>
          </w:tcPr>
          <w:p w:rsidR="00746461" w:rsidRPr="00746461" w:rsidRDefault="00746461" w:rsidP="00746461">
            <w:r w:rsidRPr="00746461">
              <w:t>2004</w:t>
            </w:r>
          </w:p>
        </w:tc>
        <w:tc>
          <w:tcPr>
            <w:tcW w:w="2282" w:type="pct"/>
            <w:tcBorders>
              <w:bottom w:val="nil"/>
            </w:tcBorders>
            <w:vAlign w:val="center"/>
          </w:tcPr>
          <w:p w:rsidR="00746461" w:rsidRPr="00746461" w:rsidRDefault="00746461" w:rsidP="00746461">
            <w:r w:rsidRPr="00746461">
              <w:t>25.68</w:t>
            </w:r>
          </w:p>
        </w:tc>
      </w:tr>
      <w:tr w:rsidR="00746461" w:rsidRPr="00746461" w:rsidTr="00392C84">
        <w:tc>
          <w:tcPr>
            <w:tcW w:w="2718" w:type="pct"/>
            <w:tcBorders>
              <w:top w:val="nil"/>
              <w:bottom w:val="nil"/>
            </w:tcBorders>
          </w:tcPr>
          <w:p w:rsidR="00746461" w:rsidRPr="00746461" w:rsidRDefault="00746461" w:rsidP="00746461">
            <w:r w:rsidRPr="00746461">
              <w:t>2005</w:t>
            </w:r>
          </w:p>
        </w:tc>
        <w:tc>
          <w:tcPr>
            <w:tcW w:w="2282" w:type="pct"/>
            <w:tcBorders>
              <w:top w:val="nil"/>
              <w:bottom w:val="nil"/>
            </w:tcBorders>
            <w:vAlign w:val="center"/>
          </w:tcPr>
          <w:p w:rsidR="00746461" w:rsidRPr="00746461" w:rsidRDefault="00746461" w:rsidP="00746461">
            <w:r w:rsidRPr="00746461">
              <w:t>20.10</w:t>
            </w:r>
          </w:p>
        </w:tc>
      </w:tr>
      <w:tr w:rsidR="00746461" w:rsidRPr="00746461" w:rsidTr="00392C84">
        <w:tc>
          <w:tcPr>
            <w:tcW w:w="2718" w:type="pct"/>
            <w:tcBorders>
              <w:top w:val="nil"/>
              <w:bottom w:val="nil"/>
            </w:tcBorders>
          </w:tcPr>
          <w:p w:rsidR="00746461" w:rsidRPr="00746461" w:rsidRDefault="00746461" w:rsidP="00746461">
            <w:r w:rsidRPr="00746461">
              <w:t>2006</w:t>
            </w:r>
          </w:p>
        </w:tc>
        <w:tc>
          <w:tcPr>
            <w:tcW w:w="2282" w:type="pct"/>
            <w:tcBorders>
              <w:top w:val="nil"/>
              <w:bottom w:val="nil"/>
            </w:tcBorders>
            <w:vAlign w:val="center"/>
          </w:tcPr>
          <w:p w:rsidR="00746461" w:rsidRPr="00746461" w:rsidRDefault="00746461" w:rsidP="00746461">
            <w:r w:rsidRPr="00746461">
              <w:t>20.40</w:t>
            </w:r>
          </w:p>
        </w:tc>
      </w:tr>
      <w:tr w:rsidR="00746461" w:rsidRPr="00746461" w:rsidTr="00392C84">
        <w:tc>
          <w:tcPr>
            <w:tcW w:w="2718" w:type="pct"/>
            <w:tcBorders>
              <w:top w:val="nil"/>
              <w:bottom w:val="nil"/>
            </w:tcBorders>
          </w:tcPr>
          <w:p w:rsidR="00746461" w:rsidRPr="00746461" w:rsidRDefault="00746461" w:rsidP="00746461">
            <w:r w:rsidRPr="00746461">
              <w:t>2007</w:t>
            </w:r>
          </w:p>
        </w:tc>
        <w:tc>
          <w:tcPr>
            <w:tcW w:w="2282" w:type="pct"/>
            <w:tcBorders>
              <w:top w:val="nil"/>
              <w:bottom w:val="nil"/>
            </w:tcBorders>
            <w:vAlign w:val="center"/>
          </w:tcPr>
          <w:p w:rsidR="00746461" w:rsidRPr="00746461" w:rsidRDefault="00746461" w:rsidP="00746461">
            <w:r w:rsidRPr="00746461">
              <w:t>24.64</w:t>
            </w:r>
          </w:p>
        </w:tc>
      </w:tr>
      <w:tr w:rsidR="00746461" w:rsidRPr="00746461" w:rsidTr="00392C84">
        <w:tc>
          <w:tcPr>
            <w:tcW w:w="2718" w:type="pct"/>
            <w:tcBorders>
              <w:top w:val="nil"/>
              <w:bottom w:val="nil"/>
            </w:tcBorders>
          </w:tcPr>
          <w:p w:rsidR="00746461" w:rsidRPr="00746461" w:rsidRDefault="00746461" w:rsidP="00746461">
            <w:r w:rsidRPr="00746461">
              <w:t>2008</w:t>
            </w:r>
          </w:p>
        </w:tc>
        <w:tc>
          <w:tcPr>
            <w:tcW w:w="2282" w:type="pct"/>
            <w:tcBorders>
              <w:top w:val="nil"/>
              <w:bottom w:val="nil"/>
            </w:tcBorders>
            <w:vAlign w:val="center"/>
          </w:tcPr>
          <w:p w:rsidR="00746461" w:rsidRPr="00746461" w:rsidRDefault="00746461" w:rsidP="00746461">
            <w:r w:rsidRPr="00746461">
              <w:t>35.05</w:t>
            </w:r>
          </w:p>
        </w:tc>
      </w:tr>
      <w:tr w:rsidR="00746461" w:rsidRPr="00746461" w:rsidTr="00392C84">
        <w:tc>
          <w:tcPr>
            <w:tcW w:w="2718" w:type="pct"/>
            <w:tcBorders>
              <w:top w:val="nil"/>
              <w:bottom w:val="nil"/>
            </w:tcBorders>
          </w:tcPr>
          <w:p w:rsidR="00746461" w:rsidRPr="00746461" w:rsidRDefault="00746461" w:rsidP="00746461">
            <w:r w:rsidRPr="00746461">
              <w:t>2009</w:t>
            </w:r>
          </w:p>
        </w:tc>
        <w:tc>
          <w:tcPr>
            <w:tcW w:w="2282" w:type="pct"/>
            <w:tcBorders>
              <w:top w:val="nil"/>
              <w:bottom w:val="nil"/>
            </w:tcBorders>
            <w:vAlign w:val="center"/>
          </w:tcPr>
          <w:p w:rsidR="00746461" w:rsidRPr="00746461" w:rsidRDefault="00746461" w:rsidP="00746461">
            <w:r w:rsidRPr="00746461">
              <w:t>31.53</w:t>
            </w:r>
          </w:p>
        </w:tc>
      </w:tr>
      <w:tr w:rsidR="00746461" w:rsidRPr="00746461" w:rsidTr="00392C84">
        <w:tc>
          <w:tcPr>
            <w:tcW w:w="2718" w:type="pct"/>
            <w:tcBorders>
              <w:top w:val="nil"/>
              <w:bottom w:val="nil"/>
            </w:tcBorders>
          </w:tcPr>
          <w:p w:rsidR="00746461" w:rsidRPr="00746461" w:rsidRDefault="00746461" w:rsidP="00746461">
            <w:r w:rsidRPr="00746461">
              <w:t>2010</w:t>
            </w:r>
          </w:p>
        </w:tc>
        <w:tc>
          <w:tcPr>
            <w:tcW w:w="2282" w:type="pct"/>
            <w:tcBorders>
              <w:top w:val="nil"/>
              <w:bottom w:val="nil"/>
            </w:tcBorders>
            <w:vAlign w:val="center"/>
          </w:tcPr>
          <w:p w:rsidR="00746461" w:rsidRPr="00746461" w:rsidRDefault="00746461" w:rsidP="00746461">
            <w:r w:rsidRPr="00746461">
              <w:t>19.42</w:t>
            </w:r>
          </w:p>
        </w:tc>
      </w:tr>
      <w:tr w:rsidR="00746461" w:rsidRPr="00746461" w:rsidTr="00392C84">
        <w:tc>
          <w:tcPr>
            <w:tcW w:w="2718" w:type="pct"/>
            <w:tcBorders>
              <w:top w:val="nil"/>
            </w:tcBorders>
          </w:tcPr>
          <w:p w:rsidR="00746461" w:rsidRPr="00746461" w:rsidRDefault="00746461" w:rsidP="00746461">
            <w:r w:rsidRPr="00746461">
              <w:t>2011</w:t>
            </w:r>
          </w:p>
        </w:tc>
        <w:tc>
          <w:tcPr>
            <w:tcW w:w="2282" w:type="pct"/>
            <w:tcBorders>
              <w:top w:val="nil"/>
            </w:tcBorders>
            <w:vAlign w:val="center"/>
          </w:tcPr>
          <w:p w:rsidR="00746461" w:rsidRPr="00746461" w:rsidRDefault="00746461" w:rsidP="00746461">
            <w:r w:rsidRPr="00746461">
              <w:t>24.84</w:t>
            </w:r>
          </w:p>
        </w:tc>
      </w:tr>
    </w:tbl>
    <w:p w:rsidR="002C7D06" w:rsidRDefault="002C7D06" w:rsidP="002C7D06"/>
    <w:p w:rsidR="00201A72" w:rsidRDefault="00201A72" w:rsidP="00CF6042">
      <w:pPr>
        <w:spacing w:line="276" w:lineRule="auto"/>
      </w:pPr>
    </w:p>
    <w:p w:rsidR="002C7D06" w:rsidRPr="002C7D06" w:rsidRDefault="002C7D06" w:rsidP="00CF6042">
      <w:pPr>
        <w:spacing w:line="276" w:lineRule="auto"/>
        <w:rPr>
          <w:b/>
          <w:sz w:val="24"/>
        </w:rPr>
      </w:pPr>
      <w:r w:rsidRPr="002C7D06">
        <w:rPr>
          <w:rFonts w:hint="eastAsia"/>
          <w:b/>
          <w:sz w:val="24"/>
        </w:rPr>
        <w:t xml:space="preserve">3.2 거래측도: 거래주체의 거래강도 </w:t>
      </w:r>
    </w:p>
    <w:p w:rsidR="00872B5B" w:rsidRDefault="00201A72" w:rsidP="0095630A">
      <w:pPr>
        <w:spacing w:line="276" w:lineRule="auto"/>
        <w:ind w:firstLineChars="100" w:firstLine="200"/>
      </w:pPr>
      <w:r w:rsidRPr="00201A72">
        <w:lastRenderedPageBreak/>
        <w:t xml:space="preserve">한국 거래소에서 제공하는 &lt;옵션 일별 </w:t>
      </w:r>
      <w:proofErr w:type="spellStart"/>
      <w:r w:rsidRPr="00201A72">
        <w:t>투자자별</w:t>
      </w:r>
      <w:proofErr w:type="spellEnd"/>
      <w:r w:rsidRPr="00201A72">
        <w:t xml:space="preserve"> 거래실적&gt;은 거래일, 투자자종류</w:t>
      </w:r>
      <w:r w:rsidRPr="00201A72">
        <w:rPr>
          <w:vertAlign w:val="superscript"/>
        </w:rPr>
        <w:footnoteReference w:id="5"/>
      </w:r>
      <w:r w:rsidRPr="00201A72">
        <w:t xml:space="preserve">, 매도거래량(주), 매도거래대금(원), 매수거래량(주), 매수거래대금(원)을 포함하고 있다. 이 값들을 이용하여 각 거래주체의 거래와 관련된 측도를 구성할 수 있다. 예를 들면, 본 연구와 같이 [매수거래량- 매도거래량]을 거래강도측도로 사용할 수 있으며, [(매수거래량 – 매도거래량)/총거래량]을 사용할 수도 있다. 본 연구에서는 옵션의 특성상, [매수거래량- 매도거래량]을 각 거래주체의 거래강도측도로 삼았으나, 거래량을 거래대금으로 수정한 측도에서도 본 연구의 결과는 </w:t>
      </w:r>
      <w:r w:rsidR="00E15FCF">
        <w:rPr>
          <w:rFonts w:hint="eastAsia"/>
        </w:rPr>
        <w:t>달라지지 않았다</w:t>
      </w:r>
      <w:r w:rsidRPr="00E15FCF">
        <w:t>.</w:t>
      </w:r>
      <w:r w:rsidR="00E15FCF" w:rsidRPr="00E15FCF">
        <w:rPr>
          <w:rFonts w:hint="eastAsia"/>
        </w:rPr>
        <w:t xml:space="preserve"> </w:t>
      </w:r>
    </w:p>
    <w:p w:rsidR="00872B5B" w:rsidRDefault="00872B5B" w:rsidP="0095630A">
      <w:pPr>
        <w:spacing w:line="276" w:lineRule="auto"/>
        <w:ind w:firstLineChars="100" w:firstLine="200"/>
      </w:pPr>
    </w:p>
    <w:p w:rsidR="00872B5B" w:rsidRDefault="00872B5B" w:rsidP="00872B5B">
      <w:pPr>
        <w:spacing w:line="276" w:lineRule="auto"/>
        <w:ind w:firstLineChars="100" w:firstLine="200"/>
        <w:jc w:val="center"/>
      </w:pPr>
      <w:r w:rsidRPr="00872B5B">
        <w:rPr>
          <w:position w:val="-12"/>
        </w:rPr>
        <w:object w:dxaOrig="5640" w:dyaOrig="360">
          <v:shape id="_x0000_i1027" type="#_x0000_t75" style="width:282.15pt;height:18.4pt" o:ole="">
            <v:imagedata r:id="rId13" o:title=""/>
          </v:shape>
          <o:OLEObject Type="Embed" ProgID="Equation.DSMT4" ShapeID="_x0000_i1027" DrawAspect="Content" ObjectID="_1463777616" r:id="rId14"/>
        </w:object>
      </w:r>
    </w:p>
    <w:p w:rsidR="00872B5B" w:rsidRDefault="00872B5B" w:rsidP="00872B5B">
      <w:pPr>
        <w:spacing w:line="276" w:lineRule="auto"/>
        <w:ind w:firstLineChars="100" w:firstLine="200"/>
        <w:jc w:val="center"/>
      </w:pPr>
    </w:p>
    <w:p w:rsidR="00E15FCF" w:rsidRDefault="00201A72" w:rsidP="0095630A">
      <w:pPr>
        <w:spacing w:line="276" w:lineRule="auto"/>
        <w:ind w:firstLineChars="100" w:firstLine="200"/>
      </w:pPr>
      <w:r w:rsidRPr="00E15FCF">
        <w:t>주식에 대해 유사한 측도를 이용한</w:t>
      </w:r>
      <w:r w:rsidR="00E15FCF">
        <w:t xml:space="preserve"> </w:t>
      </w:r>
      <w:proofErr w:type="spellStart"/>
      <w:r w:rsidR="00E15FCF">
        <w:rPr>
          <w:rFonts w:hint="eastAsia"/>
        </w:rPr>
        <w:t>K</w:t>
      </w:r>
      <w:r w:rsidRPr="00E15FCF">
        <w:t>aniel</w:t>
      </w:r>
      <w:proofErr w:type="spellEnd"/>
      <w:r w:rsidRPr="00E15FCF">
        <w:t xml:space="preserve"> et al</w:t>
      </w:r>
      <w:proofErr w:type="gramStart"/>
      <w:r w:rsidRPr="00E15FCF">
        <w:t>.(</w:t>
      </w:r>
      <w:proofErr w:type="gramEnd"/>
      <w:r w:rsidRPr="00E15FCF">
        <w:t xml:space="preserve">2008)의 경우 </w:t>
      </w:r>
      <w:proofErr w:type="spellStart"/>
      <w:r w:rsidRPr="00E15FCF">
        <w:t>매수량과</w:t>
      </w:r>
      <w:proofErr w:type="spellEnd"/>
      <w:r w:rsidRPr="00E15FCF">
        <w:t xml:space="preserve"> </w:t>
      </w:r>
      <w:proofErr w:type="spellStart"/>
      <w:r w:rsidRPr="00E15FCF">
        <w:t>매도량을</w:t>
      </w:r>
      <w:proofErr w:type="spellEnd"/>
      <w:r w:rsidRPr="00E15FCF">
        <w:t xml:space="preserve"> 차감한 후 전년도 주식 거래량의 평균으로 나누어 측도를 </w:t>
      </w:r>
      <w:r w:rsidR="00E15FCF">
        <w:t>아래와</w:t>
      </w:r>
      <w:r w:rsidR="00E15FCF">
        <w:rPr>
          <w:rFonts w:hint="eastAsia"/>
        </w:rPr>
        <w:t xml:space="preserve"> 같이 </w:t>
      </w:r>
      <w:r w:rsidRPr="00E15FCF">
        <w:t xml:space="preserve">정규화하였다. </w:t>
      </w:r>
    </w:p>
    <w:p w:rsidR="00872B5B" w:rsidRDefault="00872B5B" w:rsidP="0095630A">
      <w:pPr>
        <w:spacing w:line="276" w:lineRule="auto"/>
        <w:ind w:firstLineChars="100" w:firstLine="200"/>
      </w:pPr>
    </w:p>
    <w:p w:rsidR="00E15FCF" w:rsidRPr="00872B5B" w:rsidRDefault="00872B5B" w:rsidP="00872B5B">
      <w:pPr>
        <w:spacing w:line="276" w:lineRule="auto"/>
        <w:ind w:firstLineChars="100" w:firstLine="200"/>
        <w:jc w:val="center"/>
      </w:pPr>
      <w:r w:rsidRPr="00872B5B">
        <w:rPr>
          <w:position w:val="-32"/>
        </w:rPr>
        <w:object w:dxaOrig="6380" w:dyaOrig="720">
          <v:shape id="_x0000_i1028" type="#_x0000_t75" style="width:319pt;height:36pt" o:ole="">
            <v:imagedata r:id="rId15" o:title=""/>
          </v:shape>
          <o:OLEObject Type="Embed" ProgID="Equation.DSMT4" ShapeID="_x0000_i1028" DrawAspect="Content" ObjectID="_1463777617" r:id="rId16"/>
        </w:object>
      </w:r>
    </w:p>
    <w:p w:rsidR="00E15FCF" w:rsidRDefault="00E15FCF" w:rsidP="0095630A">
      <w:pPr>
        <w:spacing w:line="276" w:lineRule="auto"/>
        <w:ind w:firstLineChars="100" w:firstLine="200"/>
      </w:pPr>
    </w:p>
    <w:p w:rsidR="00E15FCF" w:rsidRDefault="00201A72" w:rsidP="0095630A">
      <w:pPr>
        <w:spacing w:line="276" w:lineRule="auto"/>
        <w:ind w:firstLineChars="100" w:firstLine="200"/>
      </w:pPr>
      <w:r w:rsidRPr="00E15FCF">
        <w:t xml:space="preserve">주식을 대상으로 </w:t>
      </w:r>
      <w:proofErr w:type="spellStart"/>
      <w:r w:rsidRPr="00E15FCF">
        <w:rPr>
          <w:rFonts w:hint="eastAsia"/>
        </w:rPr>
        <w:t>주식별</w:t>
      </w:r>
      <w:proofErr w:type="spellEnd"/>
      <w:r w:rsidRPr="00E15FCF">
        <w:rPr>
          <w:rFonts w:hint="eastAsia"/>
        </w:rPr>
        <w:t xml:space="preserve"> 횡단면 거래강도를 측정하기 위해서는 측도의</w:t>
      </w:r>
      <w:r w:rsidRPr="00E15FCF">
        <w:t xml:space="preserve"> 정규화</w:t>
      </w:r>
      <w:r w:rsidRPr="00E15FCF">
        <w:rPr>
          <w:rFonts w:hint="eastAsia"/>
        </w:rPr>
        <w:t xml:space="preserve">가 필요하지만, 지수옵션을 대상으로 하는 </w:t>
      </w:r>
      <w:r w:rsidRPr="00E15FCF">
        <w:t xml:space="preserve">본 연구에서는 </w:t>
      </w:r>
      <w:r w:rsidR="00E15FCF" w:rsidRPr="00E15FCF">
        <w:rPr>
          <w:rFonts w:hint="eastAsia"/>
        </w:rPr>
        <w:t xml:space="preserve">기초자산이 동일하므로 </w:t>
      </w:r>
      <w:r w:rsidRPr="00E15FCF">
        <w:t xml:space="preserve">정규화가 필요하지 않아 </w:t>
      </w:r>
      <w:r w:rsidRPr="00E15FCF">
        <w:rPr>
          <w:rFonts w:hint="eastAsia"/>
        </w:rPr>
        <w:t xml:space="preserve">이 과정을 </w:t>
      </w:r>
      <w:r w:rsidR="00872B5B">
        <w:t>생략할</w:t>
      </w:r>
      <w:r w:rsidR="00872B5B">
        <w:rPr>
          <w:rFonts w:hint="eastAsia"/>
        </w:rPr>
        <w:t xml:space="preserve"> 수 있다.</w:t>
      </w:r>
      <w:r w:rsidR="000C676C">
        <w:rPr>
          <w:rStyle w:val="a5"/>
        </w:rPr>
        <w:footnoteReference w:id="6"/>
      </w:r>
      <w:r w:rsidR="00872B5B">
        <w:rPr>
          <w:rFonts w:hint="eastAsia"/>
        </w:rPr>
        <w:t xml:space="preserve"> </w:t>
      </w:r>
    </w:p>
    <w:p w:rsidR="00201A72" w:rsidRPr="00201A72" w:rsidRDefault="00872B5B" w:rsidP="0095630A">
      <w:pPr>
        <w:spacing w:line="276" w:lineRule="auto"/>
        <w:ind w:firstLineChars="100" w:firstLine="200"/>
      </w:pPr>
      <w:r>
        <w:rPr>
          <w:rFonts w:hint="eastAsia"/>
        </w:rPr>
        <w:t>&lt;</w:t>
      </w:r>
      <w:r w:rsidR="00201A72" w:rsidRPr="00201A72">
        <w:t>표 2</w:t>
      </w:r>
      <w:r>
        <w:rPr>
          <w:rFonts w:hint="eastAsia"/>
        </w:rPr>
        <w:t>&gt;</w:t>
      </w:r>
      <w:r w:rsidR="00201A72" w:rsidRPr="00201A72">
        <w:t xml:space="preserve">는 거래대금과 거래량으로 측정된 각 거래주체 거래강도의 연도별 자료를 보여주고 있다. 패널 A는 </w:t>
      </w:r>
      <w:r>
        <w:rPr>
          <w:rFonts w:hint="eastAsia"/>
        </w:rPr>
        <w:t>전체 국내</w:t>
      </w:r>
      <w:r w:rsidR="00201A72" w:rsidRPr="00201A72">
        <w:t xml:space="preserve">기관투자자에 대한 자료이며, 패널 B는 </w:t>
      </w:r>
      <w:r>
        <w:rPr>
          <w:rFonts w:hint="eastAsia"/>
        </w:rPr>
        <w:t>국내</w:t>
      </w:r>
      <w:r w:rsidR="00201A72" w:rsidRPr="00201A72">
        <w:t xml:space="preserve">기관투자자 중 증권회사에 대한 자료, 패널 C는 </w:t>
      </w:r>
      <w:r>
        <w:rPr>
          <w:rFonts w:hint="eastAsia"/>
        </w:rPr>
        <w:t>국내</w:t>
      </w:r>
      <w:r w:rsidR="00201A72" w:rsidRPr="00201A72">
        <w:t>기관투자자 중 투자회사에 대한 자료, 패널 D는 외국인</w:t>
      </w:r>
      <w:r>
        <w:rPr>
          <w:rFonts w:hint="eastAsia"/>
        </w:rPr>
        <w:t>기관</w:t>
      </w:r>
      <w:r w:rsidR="00201A72" w:rsidRPr="00201A72">
        <w:t xml:space="preserve">투자자 자료를 보여주고 있다. 각 거래주체의 </w:t>
      </w:r>
      <w:proofErr w:type="spellStart"/>
      <w:r w:rsidR="00201A72" w:rsidRPr="00201A72">
        <w:t>매수량</w:t>
      </w:r>
      <w:proofErr w:type="spellEnd"/>
      <w:r w:rsidR="00201A72" w:rsidRPr="00201A72">
        <w:t>·</w:t>
      </w:r>
      <w:proofErr w:type="spellStart"/>
      <w:r w:rsidR="00201A72" w:rsidRPr="00201A72">
        <w:t>매도량의</w:t>
      </w:r>
      <w:proofErr w:type="spellEnd"/>
      <w:r w:rsidR="00201A72" w:rsidRPr="00201A72">
        <w:t xml:space="preserve"> 차이와 매수대금·매도대금의 차이는 거래주체들의 거래행태 및 거래성과에 대한 기본적인 정보를 제공한다. 평균적으로 </w:t>
      </w:r>
      <w:r>
        <w:rPr>
          <w:rFonts w:hint="eastAsia"/>
        </w:rPr>
        <w:t>국내</w:t>
      </w:r>
      <w:r w:rsidR="00201A72" w:rsidRPr="00201A72">
        <w:t xml:space="preserve">기관투자자의 </w:t>
      </w:r>
      <w:proofErr w:type="spellStart"/>
      <w:r w:rsidR="00201A72" w:rsidRPr="00201A72">
        <w:t>매수량과</w:t>
      </w:r>
      <w:proofErr w:type="spellEnd"/>
      <w:r w:rsidR="00201A72" w:rsidRPr="00201A72">
        <w:t xml:space="preserve"> </w:t>
      </w:r>
      <w:proofErr w:type="spellStart"/>
      <w:r w:rsidR="00201A72" w:rsidRPr="00201A72">
        <w:t>매도량의</w:t>
      </w:r>
      <w:proofErr w:type="spellEnd"/>
      <w:r w:rsidR="00201A72" w:rsidRPr="00201A72">
        <w:t xml:space="preserve"> 차이를 보</w:t>
      </w:r>
      <w:r>
        <w:rPr>
          <w:rFonts w:hint="eastAsia"/>
        </w:rPr>
        <w:t>면</w:t>
      </w:r>
      <w:r w:rsidR="00201A72" w:rsidRPr="00201A72">
        <w:t xml:space="preserve"> 대부분 음의 값을 가지고 있으나, 매수대금과 매도대금의 차이는 연도별로 차이가 있기는 하지만 양의 값을 가지는 경우가 많다. 이러한 결과는</w:t>
      </w:r>
      <w:r>
        <w:rPr>
          <w:rFonts w:hint="eastAsia"/>
        </w:rPr>
        <w:t xml:space="preserve"> 국내기</w:t>
      </w:r>
      <w:r w:rsidR="00201A72" w:rsidRPr="00201A72">
        <w:t xml:space="preserve">관투자자자가 평균적으로 옵션을 매도하는 거래전략을 취하고 있으며, 이 기간 동안 수익보다는 손실을 기록하는 경우가 많음을 보여준다. 엄밀한 분석은 아니지만 매수대금과 매도대금의 차이는 분석기간 동안 옵션거래를 통해 기록한 성과와 관련되어 있기 때문이다. 예를 들면, $5달러에 옵션을 매도했으나, 향후 $10에 이 옵션을 매수해야 했다면 옵션 </w:t>
      </w:r>
      <w:proofErr w:type="spellStart"/>
      <w:r w:rsidR="00201A72" w:rsidRPr="00201A72">
        <w:t>매수량과</w:t>
      </w:r>
      <w:proofErr w:type="spellEnd"/>
      <w:r w:rsidR="00201A72" w:rsidRPr="00201A72">
        <w:t xml:space="preserve"> </w:t>
      </w:r>
      <w:proofErr w:type="spellStart"/>
      <w:r w:rsidR="00201A72" w:rsidRPr="00201A72">
        <w:t>매도량은</w:t>
      </w:r>
      <w:proofErr w:type="spellEnd"/>
      <w:r w:rsidR="00201A72" w:rsidRPr="00201A72">
        <w:t xml:space="preserve"> 같지만, 매수대금이 매도대금보</w:t>
      </w:r>
      <w:r w:rsidR="00201A72" w:rsidRPr="00201A72">
        <w:lastRenderedPageBreak/>
        <w:t xml:space="preserve">다 크게 관찰되며 이 기간 동안 손실을 기록했을 가능성이 크다. </w:t>
      </w:r>
    </w:p>
    <w:p w:rsidR="00201A72" w:rsidRPr="00201A72" w:rsidRDefault="00201A72" w:rsidP="0095630A">
      <w:pPr>
        <w:spacing w:line="276" w:lineRule="auto"/>
        <w:ind w:firstLineChars="100" w:firstLine="200"/>
      </w:pPr>
      <w:r w:rsidRPr="00201A72">
        <w:t>패널 B</w:t>
      </w:r>
      <w:r w:rsidR="00872B5B">
        <w:rPr>
          <w:rFonts w:hint="eastAsia"/>
        </w:rPr>
        <w:t>는 전체</w:t>
      </w:r>
      <w:r w:rsidR="00ED550E">
        <w:rPr>
          <w:rFonts w:hint="eastAsia"/>
        </w:rPr>
        <w:t xml:space="preserve"> 국내</w:t>
      </w:r>
      <w:r w:rsidRPr="00201A72">
        <w:t xml:space="preserve">기관투자자 중 증권회사만을 이용한 거래강도 측도도 전체 기관투자자의 결과와 유사하다. 이는 전체기관투자자 거래량에서 증권회사의 거래량이 차지하는 비율이 90%이상으로 매우 높기 때문이다. 반면 패널 C에서 보여주는 투자회사의 결과는 전체 </w:t>
      </w:r>
      <w:r w:rsidR="00872B5B">
        <w:rPr>
          <w:rFonts w:hint="eastAsia"/>
        </w:rPr>
        <w:t>국내</w:t>
      </w:r>
      <w:r w:rsidRPr="00201A72">
        <w:t xml:space="preserve">기관투자자의 결과와 매우 다르다. </w:t>
      </w:r>
      <w:proofErr w:type="spellStart"/>
      <w:r w:rsidRPr="00201A72">
        <w:t>매수량</w:t>
      </w:r>
      <w:proofErr w:type="spellEnd"/>
      <w:r w:rsidRPr="00201A72">
        <w:t>-</w:t>
      </w:r>
      <w:proofErr w:type="spellStart"/>
      <w:r w:rsidRPr="00201A72">
        <w:t>매도량</w:t>
      </w:r>
      <w:proofErr w:type="spellEnd"/>
      <w:r w:rsidRPr="00201A72">
        <w:t xml:space="preserve"> 값이 음이라는 </w:t>
      </w:r>
      <w:r w:rsidR="00872B5B">
        <w:t>사실</w:t>
      </w:r>
      <w:r w:rsidR="00872B5B">
        <w:rPr>
          <w:rFonts w:hint="eastAsia"/>
        </w:rPr>
        <w:t>을 주지할 때</w:t>
      </w:r>
      <w:r w:rsidRPr="00201A72">
        <w:t xml:space="preserve"> 투자회사들도 평균적으로 옵션을 매도하는 거래전략을 취하는 것을 확인하였으나, 이 기간 동안 매도대금이 매수대금보다 상당히 크게 관찰된다. 이는 투자회사 그룹이 옵션거래에서 상당한 수익을 기록할 가능성이 큼을 의미한다. </w:t>
      </w:r>
    </w:p>
    <w:p w:rsidR="00201A72" w:rsidRPr="00201A72" w:rsidRDefault="00201A72" w:rsidP="0095630A">
      <w:pPr>
        <w:spacing w:line="276" w:lineRule="auto"/>
        <w:ind w:firstLineChars="100" w:firstLine="200"/>
      </w:pPr>
      <w:r w:rsidRPr="00201A72">
        <w:t>마지막으로 패널 D에 나타나 있는 외국인 투자자의 결과를 보면, 외국인</w:t>
      </w:r>
      <w:r w:rsidR="009E0AF3">
        <w:rPr>
          <w:rFonts w:hint="eastAsia"/>
        </w:rPr>
        <w:t>기관</w:t>
      </w:r>
      <w:r w:rsidRPr="00201A72">
        <w:t xml:space="preserve">투자자의 </w:t>
      </w:r>
      <w:proofErr w:type="spellStart"/>
      <w:r w:rsidRPr="00201A72">
        <w:t>매수량</w:t>
      </w:r>
      <w:proofErr w:type="spellEnd"/>
      <w:r w:rsidRPr="00201A72">
        <w:t>-</w:t>
      </w:r>
      <w:proofErr w:type="spellStart"/>
      <w:r w:rsidRPr="00201A72">
        <w:t>매도량은</w:t>
      </w:r>
      <w:proofErr w:type="spellEnd"/>
      <w:r w:rsidRPr="00201A72">
        <w:t xml:space="preserve"> 양의 값으로 평균적으로 옵션을 매수하는 거래전략을 취하고 </w:t>
      </w:r>
      <w:r w:rsidR="009E0AF3">
        <w:t>있</w:t>
      </w:r>
      <w:r w:rsidR="009E0AF3">
        <w:rPr>
          <w:rFonts w:hint="eastAsia"/>
        </w:rPr>
        <w:t>다</w:t>
      </w:r>
      <w:r w:rsidRPr="00201A72">
        <w:t>. 매수대금과 매도대금을 비교하면, 매도대금이 매수대금에 비해 매우 큰 값을 가지고 있으며 전체 분석기간 동안 기록한 대략적인 수익은 약 400억을 초과한다.</w:t>
      </w:r>
      <w:r w:rsidRPr="00201A72">
        <w:rPr>
          <w:vertAlign w:val="superscript"/>
        </w:rPr>
        <w:footnoteReference w:id="7"/>
      </w:r>
      <w:r w:rsidR="009E0AF3">
        <w:rPr>
          <w:rFonts w:hint="eastAsia"/>
        </w:rPr>
        <w:t xml:space="preserve"> </w:t>
      </w:r>
      <w:r w:rsidRPr="00201A72">
        <w:t>이상의 결과를 종합하면 옵션시장에서 평균적인 매수포지션을 취하는 거래그룹은 개인투자자와 외국인</w:t>
      </w:r>
      <w:r w:rsidR="009E0AF3">
        <w:rPr>
          <w:rFonts w:hint="eastAsia"/>
        </w:rPr>
        <w:t>기관</w:t>
      </w:r>
      <w:r w:rsidRPr="00201A72">
        <w:t>투자자이며, 평균적인 매도포지션을 취하는 거래그룹은 증권회사와 투자회사</w:t>
      </w:r>
      <w:r w:rsidR="009E0AF3">
        <w:rPr>
          <w:rFonts w:hint="eastAsia"/>
        </w:rPr>
        <w:t>와 같은 국내</w:t>
      </w:r>
      <w:r w:rsidRPr="00201A72">
        <w:t>기관투자자이다. 반면 거래를 통해 수익을 기록하는 거래그룹은 외국인</w:t>
      </w:r>
      <w:r w:rsidR="009E0AF3">
        <w:rPr>
          <w:rFonts w:hint="eastAsia"/>
        </w:rPr>
        <w:t>기관</w:t>
      </w:r>
      <w:r w:rsidRPr="00201A72">
        <w:t xml:space="preserve">투자자와 투자회사이며, 손실을 기록하는 그룹은 개인투자자와 증권회사임을 확인할 수 있었다. </w:t>
      </w:r>
    </w:p>
    <w:p w:rsidR="00201A72" w:rsidRPr="00201A72" w:rsidRDefault="009E0AF3" w:rsidP="0095630A">
      <w:pPr>
        <w:spacing w:line="276" w:lineRule="auto"/>
        <w:ind w:firstLineChars="100" w:firstLine="200"/>
      </w:pPr>
      <w:r>
        <w:rPr>
          <w:rFonts w:hint="eastAsia"/>
        </w:rPr>
        <w:t>&lt;</w:t>
      </w:r>
      <w:r w:rsidR="00201A72" w:rsidRPr="00201A72">
        <w:t>표 3</w:t>
      </w:r>
      <w:r>
        <w:rPr>
          <w:rFonts w:hint="eastAsia"/>
        </w:rPr>
        <w:t>&gt;</w:t>
      </w:r>
      <w:r w:rsidR="00201A72" w:rsidRPr="00201A72">
        <w:t>은 투자자 별 구성된 거래강도측도의 기초통계량을 보여준다. 패널 A는 총</w:t>
      </w:r>
      <w:r>
        <w:rPr>
          <w:rFonts w:hint="eastAsia"/>
        </w:rPr>
        <w:t xml:space="preserve"> 국내</w:t>
      </w:r>
      <w:r w:rsidR="00201A72" w:rsidRPr="00201A72">
        <w:t>기관투자자와 외국인</w:t>
      </w:r>
      <w:r>
        <w:rPr>
          <w:rFonts w:hint="eastAsia"/>
        </w:rPr>
        <w:t>기관</w:t>
      </w:r>
      <w:r w:rsidR="00201A72" w:rsidRPr="00201A72">
        <w:t xml:space="preserve">투자자의 기초통계량을, 패널 B는 </w:t>
      </w:r>
      <w:r>
        <w:rPr>
          <w:rFonts w:hint="eastAsia"/>
        </w:rPr>
        <w:t>국내</w:t>
      </w:r>
      <w:r w:rsidR="00201A72" w:rsidRPr="00201A72">
        <w:t xml:space="preserve">기관투자자 중 증권회사와 투자회사를 분리하여 기초통계량을 보여준다. 각 거래자그룹의 거래강도는 모두 정규분포를 크게 벗어나는 분포를 가지고 있으며, 모든 측도는 1%의 신뢰수준 하에서 </w:t>
      </w:r>
      <w:proofErr w:type="spellStart"/>
      <w:r w:rsidR="00201A72" w:rsidRPr="00201A72">
        <w:t>단위근을</w:t>
      </w:r>
      <w:proofErr w:type="spellEnd"/>
      <w:r w:rsidR="00201A72" w:rsidRPr="00201A72">
        <w:t xml:space="preserve"> 포함하지 않는 것으로 나타났다. 이 밖에 각 거래자 유형별 거래강도의 평균, 표준편차, 왜도, 첨도, 최대·최소값, 자기상관계수 등이 포함되어 있다. </w:t>
      </w:r>
    </w:p>
    <w:p w:rsidR="002C7D06" w:rsidRPr="00201A72" w:rsidRDefault="002C7D06" w:rsidP="00CF6042">
      <w:pPr>
        <w:spacing w:line="276" w:lineRule="auto"/>
      </w:pPr>
    </w:p>
    <w:p w:rsidR="002C7D06" w:rsidRDefault="002C7D06" w:rsidP="00CF6042">
      <w:pPr>
        <w:spacing w:line="276" w:lineRule="auto"/>
      </w:pPr>
    </w:p>
    <w:p w:rsidR="00746461" w:rsidRPr="00746461" w:rsidRDefault="00746461" w:rsidP="00CF6042">
      <w:pPr>
        <w:spacing w:line="276" w:lineRule="auto"/>
      </w:pPr>
    </w:p>
    <w:p w:rsidR="00746461" w:rsidRPr="00746461" w:rsidRDefault="00746461" w:rsidP="00746461">
      <w:pPr>
        <w:sectPr w:rsidR="00746461" w:rsidRPr="00746461" w:rsidSect="00392C84">
          <w:pgSz w:w="11906" w:h="16838"/>
          <w:pgMar w:top="1701" w:right="1440" w:bottom="1440" w:left="1440" w:header="851" w:footer="992" w:gutter="0"/>
          <w:pgNumType w:start="1"/>
          <w:cols w:space="425"/>
          <w:docGrid w:linePitch="360"/>
        </w:sectPr>
      </w:pPr>
    </w:p>
    <w:p w:rsidR="00746461" w:rsidRPr="00746461" w:rsidRDefault="00746461" w:rsidP="00746461">
      <w:pPr>
        <w:jc w:val="center"/>
        <w:rPr>
          <w:b/>
        </w:rPr>
      </w:pPr>
      <w:r>
        <w:rPr>
          <w:rFonts w:hint="eastAsia"/>
          <w:b/>
        </w:rPr>
        <w:lastRenderedPageBreak/>
        <w:t>&lt;</w:t>
      </w:r>
      <w:r w:rsidRPr="00746461">
        <w:rPr>
          <w:b/>
        </w:rPr>
        <w:t>표</w:t>
      </w:r>
      <w:r>
        <w:rPr>
          <w:b/>
        </w:rPr>
        <w:t xml:space="preserve"> 2</w:t>
      </w:r>
      <w:r>
        <w:rPr>
          <w:rFonts w:hint="eastAsia"/>
          <w:b/>
        </w:rPr>
        <w:t>&gt;</w:t>
      </w:r>
      <w:r w:rsidRPr="00746461">
        <w:rPr>
          <w:b/>
        </w:rPr>
        <w:t xml:space="preserve"> 투자자 별 변동성 거래강도 측도의 추세</w:t>
      </w:r>
    </w:p>
    <w:p w:rsidR="00746461" w:rsidRDefault="00746461" w:rsidP="00746461">
      <w:r w:rsidRPr="00746461">
        <w:t xml:space="preserve">표 2는 각 거래주체의 </w:t>
      </w:r>
      <w:proofErr w:type="spellStart"/>
      <w:r w:rsidRPr="00746461">
        <w:t>매수량</w:t>
      </w:r>
      <w:proofErr w:type="spellEnd"/>
      <w:r w:rsidRPr="00746461">
        <w:t xml:space="preserve">(대금), </w:t>
      </w:r>
      <w:proofErr w:type="spellStart"/>
      <w:r w:rsidRPr="00746461">
        <w:t>매도량</w:t>
      </w:r>
      <w:proofErr w:type="spellEnd"/>
      <w:r w:rsidRPr="00746461">
        <w:t xml:space="preserve">(대금) 그리고 그 차이를 연도 별로 보여준다. 패널 A는 전체 </w:t>
      </w:r>
      <w:r w:rsidR="00ED550E">
        <w:rPr>
          <w:rFonts w:hint="eastAsia"/>
        </w:rPr>
        <w:t>국내</w:t>
      </w:r>
      <w:r w:rsidRPr="00746461">
        <w:t xml:space="preserve">기관투자자의 값을, 패널 B는 </w:t>
      </w:r>
      <w:r w:rsidR="00ED550E">
        <w:rPr>
          <w:rFonts w:hint="eastAsia"/>
        </w:rPr>
        <w:t>국내</w:t>
      </w:r>
      <w:r w:rsidRPr="00746461">
        <w:t>기관투자자 중 증권회사의 값을, 패널 C는 투자회사의 값을, 패널 D는 외국인</w:t>
      </w:r>
      <w:r w:rsidR="009E0AF3">
        <w:rPr>
          <w:rFonts w:hint="eastAsia"/>
        </w:rPr>
        <w:t>기관</w:t>
      </w:r>
      <w:r w:rsidRPr="00746461">
        <w:t>투자자의 값을 포함한다. 각 표의 4열과 7열에 나타난 &lt;</w:t>
      </w:r>
      <w:proofErr w:type="spellStart"/>
      <w:r w:rsidRPr="00746461">
        <w:t>매수량</w:t>
      </w:r>
      <w:proofErr w:type="spellEnd"/>
      <w:r w:rsidRPr="00746461">
        <w:t>-</w:t>
      </w:r>
      <w:proofErr w:type="spellStart"/>
      <w:r w:rsidRPr="00746461">
        <w:t>매도량</w:t>
      </w:r>
      <w:proofErr w:type="spellEnd"/>
      <w:r w:rsidRPr="00746461">
        <w:t>&gt; 또는 &lt;매수대금-매도대금&gt;은 각 거래주체의 거래강도로 사용될 수 있다.</w:t>
      </w:r>
    </w:p>
    <w:p w:rsidR="00746461" w:rsidRPr="00392C84" w:rsidRDefault="00746461" w:rsidP="00746461">
      <w:pPr>
        <w:rPr>
          <w:b/>
          <w:sz w:val="10"/>
        </w:rPr>
      </w:pPr>
    </w:p>
    <w:p w:rsidR="00746461" w:rsidRPr="00746461" w:rsidRDefault="00746461" w:rsidP="00746461">
      <w:pPr>
        <w:rPr>
          <w:b/>
        </w:rPr>
      </w:pPr>
      <w:r w:rsidRPr="00746461">
        <w:rPr>
          <w:b/>
        </w:rPr>
        <w:t xml:space="preserve">Panel A. </w:t>
      </w:r>
      <w:r w:rsidR="00ED550E">
        <w:rPr>
          <w:rFonts w:hint="eastAsia"/>
          <w:b/>
        </w:rPr>
        <w:t>국내</w:t>
      </w:r>
      <w:r w:rsidRPr="00746461">
        <w:rPr>
          <w:b/>
        </w:rPr>
        <w:t>기관투자자의 옵션 거래량과 거래강도 추세</w:t>
      </w:r>
    </w:p>
    <w:tbl>
      <w:tblPr>
        <w:tblStyle w:val="ac"/>
        <w:tblW w:w="5000" w:type="pct"/>
        <w:tblBorders>
          <w:left w:val="none" w:sz="0" w:space="0" w:color="auto"/>
          <w:right w:val="none" w:sz="0" w:space="0" w:color="auto"/>
          <w:insideV w:val="none" w:sz="0" w:space="0" w:color="auto"/>
        </w:tblBorders>
        <w:tblLook w:val="04A0"/>
      </w:tblPr>
      <w:tblGrid>
        <w:gridCol w:w="950"/>
        <w:gridCol w:w="1850"/>
        <w:gridCol w:w="1850"/>
        <w:gridCol w:w="1839"/>
        <w:gridCol w:w="2454"/>
        <w:gridCol w:w="2752"/>
        <w:gridCol w:w="2218"/>
      </w:tblGrid>
      <w:tr w:rsidR="00746461" w:rsidRPr="00746461" w:rsidTr="00392C84">
        <w:tc>
          <w:tcPr>
            <w:tcW w:w="341" w:type="pct"/>
            <w:tcBorders>
              <w:bottom w:val="single" w:sz="4" w:space="0" w:color="auto"/>
            </w:tcBorders>
            <w:vAlign w:val="center"/>
          </w:tcPr>
          <w:p w:rsidR="00746461" w:rsidRPr="00746461" w:rsidRDefault="00746461" w:rsidP="00746461">
            <w:r w:rsidRPr="00746461">
              <w:t>연도</w:t>
            </w:r>
          </w:p>
        </w:tc>
        <w:tc>
          <w:tcPr>
            <w:tcW w:w="665" w:type="pct"/>
            <w:tcBorders>
              <w:bottom w:val="single" w:sz="4" w:space="0" w:color="auto"/>
            </w:tcBorders>
            <w:vAlign w:val="center"/>
          </w:tcPr>
          <w:p w:rsidR="00746461" w:rsidRPr="00746461" w:rsidRDefault="00746461" w:rsidP="00746461">
            <w:proofErr w:type="spellStart"/>
            <w:r w:rsidRPr="00746461">
              <w:t>매수량</w:t>
            </w:r>
            <w:proofErr w:type="spellEnd"/>
            <w:r w:rsidRPr="00746461">
              <w:t>(개)</w:t>
            </w:r>
          </w:p>
        </w:tc>
        <w:tc>
          <w:tcPr>
            <w:tcW w:w="665" w:type="pct"/>
            <w:tcBorders>
              <w:bottom w:val="single" w:sz="4" w:space="0" w:color="auto"/>
            </w:tcBorders>
          </w:tcPr>
          <w:p w:rsidR="00746461" w:rsidRPr="00746461" w:rsidRDefault="00746461" w:rsidP="00746461">
            <w:proofErr w:type="spellStart"/>
            <w:r w:rsidRPr="00746461">
              <w:t>매도량</w:t>
            </w:r>
            <w:proofErr w:type="spellEnd"/>
            <w:r w:rsidRPr="00746461">
              <w:t>(개)</w:t>
            </w:r>
          </w:p>
        </w:tc>
        <w:tc>
          <w:tcPr>
            <w:tcW w:w="661" w:type="pct"/>
            <w:tcBorders>
              <w:bottom w:val="single" w:sz="4" w:space="0" w:color="auto"/>
            </w:tcBorders>
          </w:tcPr>
          <w:p w:rsidR="00746461" w:rsidRPr="00746461" w:rsidRDefault="00746461" w:rsidP="00746461">
            <w:pPr>
              <w:rPr>
                <w:b/>
              </w:rPr>
            </w:pPr>
            <w:r w:rsidRPr="00746461">
              <w:rPr>
                <w:b/>
              </w:rPr>
              <w:t>매수-매도(개)</w:t>
            </w:r>
          </w:p>
        </w:tc>
        <w:tc>
          <w:tcPr>
            <w:tcW w:w="882" w:type="pct"/>
            <w:tcBorders>
              <w:bottom w:val="single" w:sz="4" w:space="0" w:color="auto"/>
            </w:tcBorders>
          </w:tcPr>
          <w:p w:rsidR="00746461" w:rsidRPr="00746461" w:rsidRDefault="00746461" w:rsidP="00746461">
            <w:r w:rsidRPr="00746461">
              <w:t>매수대금(원)</w:t>
            </w:r>
          </w:p>
        </w:tc>
        <w:tc>
          <w:tcPr>
            <w:tcW w:w="989" w:type="pct"/>
            <w:tcBorders>
              <w:bottom w:val="single" w:sz="4" w:space="0" w:color="auto"/>
            </w:tcBorders>
          </w:tcPr>
          <w:p w:rsidR="00746461" w:rsidRPr="00746461" w:rsidRDefault="00746461" w:rsidP="00746461">
            <w:r w:rsidRPr="00746461">
              <w:t>매도대금(원)</w:t>
            </w:r>
          </w:p>
        </w:tc>
        <w:tc>
          <w:tcPr>
            <w:tcW w:w="798" w:type="pct"/>
            <w:tcBorders>
              <w:bottom w:val="single" w:sz="4" w:space="0" w:color="auto"/>
            </w:tcBorders>
          </w:tcPr>
          <w:p w:rsidR="00746461" w:rsidRPr="00746461" w:rsidRDefault="00746461" w:rsidP="00746461">
            <w:pPr>
              <w:rPr>
                <w:b/>
              </w:rPr>
            </w:pPr>
            <w:r w:rsidRPr="00746461">
              <w:rPr>
                <w:b/>
              </w:rPr>
              <w:t>매수-매도(원)</w:t>
            </w:r>
          </w:p>
        </w:tc>
      </w:tr>
      <w:tr w:rsidR="00746461" w:rsidRPr="00746461" w:rsidTr="00392C84">
        <w:tc>
          <w:tcPr>
            <w:tcW w:w="341" w:type="pct"/>
            <w:tcBorders>
              <w:bottom w:val="nil"/>
            </w:tcBorders>
            <w:vAlign w:val="center"/>
          </w:tcPr>
          <w:p w:rsidR="00746461" w:rsidRPr="00746461" w:rsidRDefault="00746461" w:rsidP="00746461">
            <w:r w:rsidRPr="00746461">
              <w:t>2004</w:t>
            </w:r>
          </w:p>
        </w:tc>
        <w:tc>
          <w:tcPr>
            <w:tcW w:w="665" w:type="pct"/>
            <w:tcBorders>
              <w:bottom w:val="nil"/>
            </w:tcBorders>
            <w:vAlign w:val="center"/>
          </w:tcPr>
          <w:p w:rsidR="00746461" w:rsidRPr="00746461" w:rsidRDefault="00746461" w:rsidP="00746461">
            <w:r w:rsidRPr="00746461">
              <w:t xml:space="preserve">18,510,022 </w:t>
            </w:r>
          </w:p>
        </w:tc>
        <w:tc>
          <w:tcPr>
            <w:tcW w:w="665" w:type="pct"/>
            <w:tcBorders>
              <w:bottom w:val="nil"/>
            </w:tcBorders>
            <w:vAlign w:val="center"/>
          </w:tcPr>
          <w:p w:rsidR="00746461" w:rsidRPr="00746461" w:rsidRDefault="00746461" w:rsidP="00746461">
            <w:r w:rsidRPr="00746461">
              <w:t xml:space="preserve">18,961,398 </w:t>
            </w:r>
          </w:p>
        </w:tc>
        <w:tc>
          <w:tcPr>
            <w:tcW w:w="661" w:type="pct"/>
            <w:tcBorders>
              <w:bottom w:val="nil"/>
            </w:tcBorders>
            <w:vAlign w:val="center"/>
          </w:tcPr>
          <w:p w:rsidR="00746461" w:rsidRPr="00746461" w:rsidRDefault="00746461" w:rsidP="00746461">
            <w:pPr>
              <w:rPr>
                <w:b/>
              </w:rPr>
            </w:pPr>
            <w:r w:rsidRPr="00746461">
              <w:rPr>
                <w:b/>
              </w:rPr>
              <w:t xml:space="preserve">-451,376 </w:t>
            </w:r>
          </w:p>
        </w:tc>
        <w:tc>
          <w:tcPr>
            <w:tcW w:w="882" w:type="pct"/>
            <w:tcBorders>
              <w:bottom w:val="nil"/>
            </w:tcBorders>
            <w:vAlign w:val="center"/>
          </w:tcPr>
          <w:p w:rsidR="00746461" w:rsidRPr="00746461" w:rsidRDefault="00746461" w:rsidP="00746461">
            <w:r w:rsidRPr="00746461">
              <w:t xml:space="preserve">964,338,616,980 </w:t>
            </w:r>
          </w:p>
        </w:tc>
        <w:tc>
          <w:tcPr>
            <w:tcW w:w="989" w:type="pct"/>
            <w:tcBorders>
              <w:bottom w:val="nil"/>
            </w:tcBorders>
            <w:vAlign w:val="center"/>
          </w:tcPr>
          <w:p w:rsidR="00746461" w:rsidRPr="00746461" w:rsidRDefault="00746461" w:rsidP="00746461">
            <w:r w:rsidRPr="00746461">
              <w:t xml:space="preserve">964,876,423,673 </w:t>
            </w:r>
          </w:p>
        </w:tc>
        <w:tc>
          <w:tcPr>
            <w:tcW w:w="798" w:type="pct"/>
            <w:tcBorders>
              <w:bottom w:val="nil"/>
            </w:tcBorders>
            <w:vAlign w:val="center"/>
          </w:tcPr>
          <w:p w:rsidR="00746461" w:rsidRPr="00746461" w:rsidRDefault="00746461" w:rsidP="00746461">
            <w:pPr>
              <w:rPr>
                <w:b/>
              </w:rPr>
            </w:pPr>
            <w:r w:rsidRPr="00746461">
              <w:rPr>
                <w:b/>
              </w:rPr>
              <w:t xml:space="preserve">-537,806,694 </w:t>
            </w:r>
          </w:p>
        </w:tc>
      </w:tr>
      <w:tr w:rsidR="00746461" w:rsidRPr="00746461" w:rsidTr="00392C84">
        <w:tc>
          <w:tcPr>
            <w:tcW w:w="341" w:type="pct"/>
            <w:tcBorders>
              <w:top w:val="nil"/>
              <w:bottom w:val="nil"/>
            </w:tcBorders>
            <w:vAlign w:val="center"/>
          </w:tcPr>
          <w:p w:rsidR="00746461" w:rsidRPr="00746461" w:rsidRDefault="00746461" w:rsidP="00746461">
            <w:r w:rsidRPr="00746461">
              <w:t>2005</w:t>
            </w:r>
          </w:p>
        </w:tc>
        <w:tc>
          <w:tcPr>
            <w:tcW w:w="665" w:type="pct"/>
            <w:tcBorders>
              <w:top w:val="nil"/>
              <w:bottom w:val="nil"/>
            </w:tcBorders>
            <w:vAlign w:val="center"/>
          </w:tcPr>
          <w:p w:rsidR="00746461" w:rsidRPr="00746461" w:rsidRDefault="00746461" w:rsidP="00746461">
            <w:r w:rsidRPr="00746461">
              <w:t xml:space="preserve">20,760,851 </w:t>
            </w:r>
          </w:p>
        </w:tc>
        <w:tc>
          <w:tcPr>
            <w:tcW w:w="665" w:type="pct"/>
            <w:tcBorders>
              <w:top w:val="nil"/>
              <w:bottom w:val="nil"/>
            </w:tcBorders>
            <w:vAlign w:val="center"/>
          </w:tcPr>
          <w:p w:rsidR="00746461" w:rsidRPr="00746461" w:rsidRDefault="00746461" w:rsidP="00746461">
            <w:r w:rsidRPr="00746461">
              <w:t xml:space="preserve">21,198,184 </w:t>
            </w:r>
          </w:p>
        </w:tc>
        <w:tc>
          <w:tcPr>
            <w:tcW w:w="661" w:type="pct"/>
            <w:tcBorders>
              <w:top w:val="nil"/>
              <w:bottom w:val="nil"/>
            </w:tcBorders>
            <w:vAlign w:val="center"/>
          </w:tcPr>
          <w:p w:rsidR="00746461" w:rsidRPr="00746461" w:rsidRDefault="00746461" w:rsidP="00746461">
            <w:pPr>
              <w:rPr>
                <w:b/>
              </w:rPr>
            </w:pPr>
            <w:r w:rsidRPr="00746461">
              <w:rPr>
                <w:b/>
              </w:rPr>
              <w:t xml:space="preserve">-437,332 </w:t>
            </w:r>
          </w:p>
        </w:tc>
        <w:tc>
          <w:tcPr>
            <w:tcW w:w="882" w:type="pct"/>
            <w:tcBorders>
              <w:top w:val="nil"/>
              <w:bottom w:val="nil"/>
            </w:tcBorders>
            <w:vAlign w:val="center"/>
          </w:tcPr>
          <w:p w:rsidR="00746461" w:rsidRPr="00746461" w:rsidRDefault="00746461" w:rsidP="00746461">
            <w:r w:rsidRPr="00746461">
              <w:t xml:space="preserve">961,685,584,720 </w:t>
            </w:r>
          </w:p>
        </w:tc>
        <w:tc>
          <w:tcPr>
            <w:tcW w:w="989" w:type="pct"/>
            <w:tcBorders>
              <w:top w:val="nil"/>
              <w:bottom w:val="nil"/>
            </w:tcBorders>
            <w:vAlign w:val="center"/>
          </w:tcPr>
          <w:p w:rsidR="00746461" w:rsidRPr="00746461" w:rsidRDefault="00746461" w:rsidP="00746461">
            <w:r w:rsidRPr="00746461">
              <w:t xml:space="preserve">962,320,687,680 </w:t>
            </w:r>
          </w:p>
        </w:tc>
        <w:tc>
          <w:tcPr>
            <w:tcW w:w="798" w:type="pct"/>
            <w:tcBorders>
              <w:top w:val="nil"/>
              <w:bottom w:val="nil"/>
            </w:tcBorders>
            <w:vAlign w:val="center"/>
          </w:tcPr>
          <w:p w:rsidR="00746461" w:rsidRPr="00746461" w:rsidRDefault="00746461" w:rsidP="00746461">
            <w:pPr>
              <w:rPr>
                <w:b/>
              </w:rPr>
            </w:pPr>
            <w:r w:rsidRPr="00746461">
              <w:rPr>
                <w:b/>
              </w:rPr>
              <w:t xml:space="preserve">-635,102,960 </w:t>
            </w:r>
          </w:p>
        </w:tc>
      </w:tr>
      <w:tr w:rsidR="00746461" w:rsidRPr="00746461" w:rsidTr="00392C84">
        <w:tc>
          <w:tcPr>
            <w:tcW w:w="341" w:type="pct"/>
            <w:tcBorders>
              <w:top w:val="nil"/>
              <w:bottom w:val="nil"/>
            </w:tcBorders>
            <w:vAlign w:val="center"/>
          </w:tcPr>
          <w:p w:rsidR="00746461" w:rsidRPr="00746461" w:rsidRDefault="00746461" w:rsidP="00746461">
            <w:r w:rsidRPr="00746461">
              <w:t>2006</w:t>
            </w:r>
          </w:p>
        </w:tc>
        <w:tc>
          <w:tcPr>
            <w:tcW w:w="665" w:type="pct"/>
            <w:tcBorders>
              <w:top w:val="nil"/>
              <w:bottom w:val="nil"/>
            </w:tcBorders>
            <w:vAlign w:val="center"/>
          </w:tcPr>
          <w:p w:rsidR="00746461" w:rsidRPr="00746461" w:rsidRDefault="00746461" w:rsidP="00746461">
            <w:r w:rsidRPr="00746461">
              <w:t xml:space="preserve">21,991,569 </w:t>
            </w:r>
          </w:p>
        </w:tc>
        <w:tc>
          <w:tcPr>
            <w:tcW w:w="665" w:type="pct"/>
            <w:tcBorders>
              <w:top w:val="nil"/>
              <w:bottom w:val="nil"/>
            </w:tcBorders>
            <w:vAlign w:val="center"/>
          </w:tcPr>
          <w:p w:rsidR="00746461" w:rsidRPr="00746461" w:rsidRDefault="00746461" w:rsidP="00746461">
            <w:r w:rsidRPr="00746461">
              <w:t xml:space="preserve">22,487,781 </w:t>
            </w:r>
          </w:p>
        </w:tc>
        <w:tc>
          <w:tcPr>
            <w:tcW w:w="661" w:type="pct"/>
            <w:tcBorders>
              <w:top w:val="nil"/>
              <w:bottom w:val="nil"/>
            </w:tcBorders>
            <w:vAlign w:val="center"/>
          </w:tcPr>
          <w:p w:rsidR="00746461" w:rsidRPr="00746461" w:rsidRDefault="00746461" w:rsidP="00746461">
            <w:pPr>
              <w:rPr>
                <w:b/>
              </w:rPr>
            </w:pPr>
            <w:r w:rsidRPr="00746461">
              <w:rPr>
                <w:b/>
              </w:rPr>
              <w:t xml:space="preserve">-496,212 </w:t>
            </w:r>
          </w:p>
        </w:tc>
        <w:tc>
          <w:tcPr>
            <w:tcW w:w="882" w:type="pct"/>
            <w:tcBorders>
              <w:top w:val="nil"/>
              <w:bottom w:val="nil"/>
            </w:tcBorders>
            <w:vAlign w:val="center"/>
          </w:tcPr>
          <w:p w:rsidR="00746461" w:rsidRPr="00746461" w:rsidRDefault="00746461" w:rsidP="00746461">
            <w:r w:rsidRPr="00746461">
              <w:t xml:space="preserve">965,415,259,880 </w:t>
            </w:r>
          </w:p>
        </w:tc>
        <w:tc>
          <w:tcPr>
            <w:tcW w:w="989" w:type="pct"/>
            <w:tcBorders>
              <w:top w:val="nil"/>
              <w:bottom w:val="nil"/>
            </w:tcBorders>
            <w:vAlign w:val="center"/>
          </w:tcPr>
          <w:p w:rsidR="00746461" w:rsidRPr="00746461" w:rsidRDefault="00746461" w:rsidP="00746461">
            <w:r w:rsidRPr="00746461">
              <w:t xml:space="preserve">966,674,179,720 </w:t>
            </w:r>
          </w:p>
        </w:tc>
        <w:tc>
          <w:tcPr>
            <w:tcW w:w="798" w:type="pct"/>
            <w:tcBorders>
              <w:top w:val="nil"/>
              <w:bottom w:val="nil"/>
            </w:tcBorders>
            <w:vAlign w:val="center"/>
          </w:tcPr>
          <w:p w:rsidR="00746461" w:rsidRPr="00746461" w:rsidRDefault="00746461" w:rsidP="00746461">
            <w:pPr>
              <w:rPr>
                <w:b/>
              </w:rPr>
            </w:pPr>
            <w:r w:rsidRPr="00746461">
              <w:rPr>
                <w:b/>
              </w:rPr>
              <w:t xml:space="preserve">-1,258,919,840 </w:t>
            </w:r>
          </w:p>
        </w:tc>
      </w:tr>
      <w:tr w:rsidR="00746461" w:rsidRPr="00746461" w:rsidTr="00392C84">
        <w:tc>
          <w:tcPr>
            <w:tcW w:w="341" w:type="pct"/>
            <w:tcBorders>
              <w:top w:val="nil"/>
              <w:bottom w:val="nil"/>
            </w:tcBorders>
            <w:vAlign w:val="center"/>
          </w:tcPr>
          <w:p w:rsidR="00746461" w:rsidRPr="00746461" w:rsidRDefault="00746461" w:rsidP="00746461">
            <w:r w:rsidRPr="00746461">
              <w:t>2007</w:t>
            </w:r>
          </w:p>
        </w:tc>
        <w:tc>
          <w:tcPr>
            <w:tcW w:w="665" w:type="pct"/>
            <w:tcBorders>
              <w:top w:val="nil"/>
              <w:bottom w:val="nil"/>
            </w:tcBorders>
            <w:vAlign w:val="center"/>
          </w:tcPr>
          <w:p w:rsidR="00746461" w:rsidRPr="00746461" w:rsidRDefault="00746461" w:rsidP="00746461">
            <w:r w:rsidRPr="00746461">
              <w:t xml:space="preserve">22,733,879 </w:t>
            </w:r>
          </w:p>
        </w:tc>
        <w:tc>
          <w:tcPr>
            <w:tcW w:w="665" w:type="pct"/>
            <w:tcBorders>
              <w:top w:val="nil"/>
              <w:bottom w:val="nil"/>
            </w:tcBorders>
            <w:vAlign w:val="center"/>
          </w:tcPr>
          <w:p w:rsidR="00746461" w:rsidRPr="00746461" w:rsidRDefault="00746461" w:rsidP="00746461">
            <w:r w:rsidRPr="00746461">
              <w:t xml:space="preserve">23,185,855 </w:t>
            </w:r>
          </w:p>
        </w:tc>
        <w:tc>
          <w:tcPr>
            <w:tcW w:w="661" w:type="pct"/>
            <w:tcBorders>
              <w:top w:val="nil"/>
              <w:bottom w:val="nil"/>
            </w:tcBorders>
            <w:vAlign w:val="center"/>
          </w:tcPr>
          <w:p w:rsidR="00746461" w:rsidRPr="00746461" w:rsidRDefault="00746461" w:rsidP="00746461">
            <w:pPr>
              <w:rPr>
                <w:b/>
              </w:rPr>
            </w:pPr>
            <w:r w:rsidRPr="00746461">
              <w:rPr>
                <w:b/>
              </w:rPr>
              <w:t xml:space="preserve">-451,976 </w:t>
            </w:r>
          </w:p>
        </w:tc>
        <w:tc>
          <w:tcPr>
            <w:tcW w:w="882" w:type="pct"/>
            <w:tcBorders>
              <w:top w:val="nil"/>
              <w:bottom w:val="nil"/>
            </w:tcBorders>
            <w:vAlign w:val="center"/>
          </w:tcPr>
          <w:p w:rsidR="00746461" w:rsidRPr="00746461" w:rsidRDefault="00746461" w:rsidP="00746461">
            <w:r w:rsidRPr="00746461">
              <w:t xml:space="preserve">1,248,436,001,163 </w:t>
            </w:r>
          </w:p>
        </w:tc>
        <w:tc>
          <w:tcPr>
            <w:tcW w:w="989" w:type="pct"/>
            <w:tcBorders>
              <w:top w:val="nil"/>
              <w:bottom w:val="nil"/>
            </w:tcBorders>
            <w:vAlign w:val="center"/>
          </w:tcPr>
          <w:p w:rsidR="00746461" w:rsidRPr="00746461" w:rsidRDefault="00746461" w:rsidP="00746461">
            <w:r w:rsidRPr="00746461">
              <w:t xml:space="preserve">1,247,514,220,735 </w:t>
            </w:r>
          </w:p>
        </w:tc>
        <w:tc>
          <w:tcPr>
            <w:tcW w:w="798" w:type="pct"/>
            <w:tcBorders>
              <w:top w:val="nil"/>
              <w:bottom w:val="nil"/>
            </w:tcBorders>
            <w:vAlign w:val="center"/>
          </w:tcPr>
          <w:p w:rsidR="00746461" w:rsidRPr="00746461" w:rsidRDefault="00746461" w:rsidP="00746461">
            <w:pPr>
              <w:rPr>
                <w:b/>
              </w:rPr>
            </w:pPr>
            <w:r w:rsidRPr="00746461">
              <w:rPr>
                <w:b/>
              </w:rPr>
              <w:t xml:space="preserve">921,780,429 </w:t>
            </w:r>
          </w:p>
        </w:tc>
      </w:tr>
      <w:tr w:rsidR="00746461" w:rsidRPr="00746461" w:rsidTr="00392C84">
        <w:tc>
          <w:tcPr>
            <w:tcW w:w="341" w:type="pct"/>
            <w:tcBorders>
              <w:top w:val="nil"/>
              <w:bottom w:val="nil"/>
            </w:tcBorders>
            <w:vAlign w:val="center"/>
          </w:tcPr>
          <w:p w:rsidR="00746461" w:rsidRPr="00746461" w:rsidRDefault="00746461" w:rsidP="00746461">
            <w:r w:rsidRPr="00746461">
              <w:t>2008</w:t>
            </w:r>
          </w:p>
        </w:tc>
        <w:tc>
          <w:tcPr>
            <w:tcW w:w="665" w:type="pct"/>
            <w:tcBorders>
              <w:top w:val="nil"/>
              <w:bottom w:val="nil"/>
            </w:tcBorders>
            <w:vAlign w:val="center"/>
          </w:tcPr>
          <w:p w:rsidR="00746461" w:rsidRPr="00746461" w:rsidRDefault="00746461" w:rsidP="00746461">
            <w:r w:rsidRPr="00746461">
              <w:t xml:space="preserve">19,453,263 </w:t>
            </w:r>
          </w:p>
        </w:tc>
        <w:tc>
          <w:tcPr>
            <w:tcW w:w="665" w:type="pct"/>
            <w:tcBorders>
              <w:top w:val="nil"/>
              <w:bottom w:val="nil"/>
            </w:tcBorders>
            <w:vAlign w:val="center"/>
          </w:tcPr>
          <w:p w:rsidR="00746461" w:rsidRPr="00746461" w:rsidRDefault="00746461" w:rsidP="00746461">
            <w:r w:rsidRPr="00746461">
              <w:t xml:space="preserve">19,931,217 </w:t>
            </w:r>
          </w:p>
        </w:tc>
        <w:tc>
          <w:tcPr>
            <w:tcW w:w="661" w:type="pct"/>
            <w:tcBorders>
              <w:top w:val="nil"/>
              <w:bottom w:val="nil"/>
            </w:tcBorders>
            <w:vAlign w:val="center"/>
          </w:tcPr>
          <w:p w:rsidR="00746461" w:rsidRPr="00746461" w:rsidRDefault="00746461" w:rsidP="00746461">
            <w:pPr>
              <w:rPr>
                <w:b/>
              </w:rPr>
            </w:pPr>
            <w:r w:rsidRPr="00746461">
              <w:rPr>
                <w:b/>
              </w:rPr>
              <w:t xml:space="preserve">-477,954 </w:t>
            </w:r>
          </w:p>
        </w:tc>
        <w:tc>
          <w:tcPr>
            <w:tcW w:w="882" w:type="pct"/>
            <w:tcBorders>
              <w:top w:val="nil"/>
              <w:bottom w:val="nil"/>
            </w:tcBorders>
            <w:vAlign w:val="center"/>
          </w:tcPr>
          <w:p w:rsidR="00746461" w:rsidRPr="00746461" w:rsidRDefault="00746461" w:rsidP="00746461">
            <w:r w:rsidRPr="00746461">
              <w:t xml:space="preserve">1,319,715,962,898 </w:t>
            </w:r>
          </w:p>
        </w:tc>
        <w:tc>
          <w:tcPr>
            <w:tcW w:w="989" w:type="pct"/>
            <w:tcBorders>
              <w:top w:val="nil"/>
              <w:bottom w:val="nil"/>
            </w:tcBorders>
            <w:vAlign w:val="center"/>
          </w:tcPr>
          <w:p w:rsidR="00746461" w:rsidRPr="00746461" w:rsidRDefault="00746461" w:rsidP="00746461">
            <w:r w:rsidRPr="00746461">
              <w:t xml:space="preserve">1,321,811,089,184 </w:t>
            </w:r>
          </w:p>
        </w:tc>
        <w:tc>
          <w:tcPr>
            <w:tcW w:w="798" w:type="pct"/>
            <w:tcBorders>
              <w:top w:val="nil"/>
              <w:bottom w:val="nil"/>
            </w:tcBorders>
            <w:vAlign w:val="center"/>
          </w:tcPr>
          <w:p w:rsidR="00746461" w:rsidRPr="00746461" w:rsidRDefault="00746461" w:rsidP="00746461">
            <w:pPr>
              <w:rPr>
                <w:b/>
              </w:rPr>
            </w:pPr>
            <w:r w:rsidRPr="00746461">
              <w:rPr>
                <w:b/>
              </w:rPr>
              <w:t xml:space="preserve">-2,095,126,286 </w:t>
            </w:r>
          </w:p>
        </w:tc>
      </w:tr>
      <w:tr w:rsidR="00746461" w:rsidRPr="00746461" w:rsidTr="00392C84">
        <w:tc>
          <w:tcPr>
            <w:tcW w:w="341" w:type="pct"/>
            <w:tcBorders>
              <w:top w:val="nil"/>
              <w:bottom w:val="nil"/>
            </w:tcBorders>
            <w:vAlign w:val="center"/>
          </w:tcPr>
          <w:p w:rsidR="00746461" w:rsidRPr="00746461" w:rsidRDefault="00746461" w:rsidP="00746461">
            <w:r w:rsidRPr="00746461">
              <w:t>2009</w:t>
            </w:r>
          </w:p>
        </w:tc>
        <w:tc>
          <w:tcPr>
            <w:tcW w:w="665" w:type="pct"/>
            <w:tcBorders>
              <w:top w:val="nil"/>
              <w:bottom w:val="nil"/>
            </w:tcBorders>
            <w:vAlign w:val="center"/>
          </w:tcPr>
          <w:p w:rsidR="00746461" w:rsidRPr="00746461" w:rsidRDefault="00746461" w:rsidP="00746461">
            <w:r w:rsidRPr="00746461">
              <w:t xml:space="preserve">18,221,524 </w:t>
            </w:r>
          </w:p>
        </w:tc>
        <w:tc>
          <w:tcPr>
            <w:tcW w:w="665" w:type="pct"/>
            <w:tcBorders>
              <w:top w:val="nil"/>
              <w:bottom w:val="nil"/>
            </w:tcBorders>
            <w:vAlign w:val="center"/>
          </w:tcPr>
          <w:p w:rsidR="00746461" w:rsidRPr="00746461" w:rsidRDefault="00746461" w:rsidP="00746461">
            <w:r w:rsidRPr="00746461">
              <w:t xml:space="preserve">18,659,084 </w:t>
            </w:r>
          </w:p>
        </w:tc>
        <w:tc>
          <w:tcPr>
            <w:tcW w:w="661" w:type="pct"/>
            <w:tcBorders>
              <w:top w:val="nil"/>
              <w:bottom w:val="nil"/>
            </w:tcBorders>
            <w:vAlign w:val="center"/>
          </w:tcPr>
          <w:p w:rsidR="00746461" w:rsidRPr="00746461" w:rsidRDefault="00746461" w:rsidP="00746461">
            <w:pPr>
              <w:rPr>
                <w:b/>
              </w:rPr>
            </w:pPr>
            <w:r w:rsidRPr="00746461">
              <w:rPr>
                <w:b/>
              </w:rPr>
              <w:t xml:space="preserve">-437,559 </w:t>
            </w:r>
          </w:p>
        </w:tc>
        <w:tc>
          <w:tcPr>
            <w:tcW w:w="882" w:type="pct"/>
            <w:tcBorders>
              <w:top w:val="nil"/>
              <w:bottom w:val="nil"/>
            </w:tcBorders>
            <w:vAlign w:val="center"/>
          </w:tcPr>
          <w:p w:rsidR="00746461" w:rsidRPr="00746461" w:rsidRDefault="00746461" w:rsidP="00746461">
            <w:r w:rsidRPr="00746461">
              <w:t xml:space="preserve">964,666,302,784 </w:t>
            </w:r>
          </w:p>
        </w:tc>
        <w:tc>
          <w:tcPr>
            <w:tcW w:w="989" w:type="pct"/>
            <w:tcBorders>
              <w:top w:val="nil"/>
              <w:bottom w:val="nil"/>
            </w:tcBorders>
            <w:vAlign w:val="center"/>
          </w:tcPr>
          <w:p w:rsidR="00746461" w:rsidRPr="00746461" w:rsidRDefault="00746461" w:rsidP="00746461">
            <w:r w:rsidRPr="00746461">
              <w:t xml:space="preserve">957,513,995,059 </w:t>
            </w:r>
          </w:p>
        </w:tc>
        <w:tc>
          <w:tcPr>
            <w:tcW w:w="798" w:type="pct"/>
            <w:tcBorders>
              <w:top w:val="nil"/>
              <w:bottom w:val="nil"/>
            </w:tcBorders>
            <w:vAlign w:val="center"/>
          </w:tcPr>
          <w:p w:rsidR="00746461" w:rsidRPr="00746461" w:rsidRDefault="00746461" w:rsidP="00746461">
            <w:pPr>
              <w:rPr>
                <w:b/>
              </w:rPr>
            </w:pPr>
            <w:r w:rsidRPr="00746461">
              <w:rPr>
                <w:b/>
              </w:rPr>
              <w:t xml:space="preserve">7,152,307,725 </w:t>
            </w:r>
          </w:p>
        </w:tc>
      </w:tr>
      <w:tr w:rsidR="00746461" w:rsidRPr="00746461" w:rsidTr="00392C84">
        <w:tc>
          <w:tcPr>
            <w:tcW w:w="341" w:type="pct"/>
            <w:tcBorders>
              <w:top w:val="nil"/>
              <w:bottom w:val="nil"/>
            </w:tcBorders>
            <w:vAlign w:val="center"/>
          </w:tcPr>
          <w:p w:rsidR="00746461" w:rsidRPr="00746461" w:rsidRDefault="00746461" w:rsidP="00746461">
            <w:r w:rsidRPr="00746461">
              <w:t>2010</w:t>
            </w:r>
          </w:p>
        </w:tc>
        <w:tc>
          <w:tcPr>
            <w:tcW w:w="665" w:type="pct"/>
            <w:tcBorders>
              <w:top w:val="nil"/>
              <w:bottom w:val="nil"/>
            </w:tcBorders>
            <w:vAlign w:val="center"/>
          </w:tcPr>
          <w:p w:rsidR="00746461" w:rsidRPr="00746461" w:rsidRDefault="00746461" w:rsidP="00746461">
            <w:r w:rsidRPr="00746461">
              <w:t xml:space="preserve">22,920,371 </w:t>
            </w:r>
          </w:p>
        </w:tc>
        <w:tc>
          <w:tcPr>
            <w:tcW w:w="665" w:type="pct"/>
            <w:tcBorders>
              <w:top w:val="nil"/>
              <w:bottom w:val="nil"/>
            </w:tcBorders>
            <w:vAlign w:val="center"/>
          </w:tcPr>
          <w:p w:rsidR="00746461" w:rsidRPr="00746461" w:rsidRDefault="00746461" w:rsidP="00746461">
            <w:r w:rsidRPr="00746461">
              <w:t xml:space="preserve">23,416,406 </w:t>
            </w:r>
          </w:p>
        </w:tc>
        <w:tc>
          <w:tcPr>
            <w:tcW w:w="661" w:type="pct"/>
            <w:tcBorders>
              <w:top w:val="nil"/>
              <w:bottom w:val="nil"/>
            </w:tcBorders>
            <w:vAlign w:val="center"/>
          </w:tcPr>
          <w:p w:rsidR="00746461" w:rsidRPr="00746461" w:rsidRDefault="00746461" w:rsidP="00746461">
            <w:pPr>
              <w:rPr>
                <w:b/>
              </w:rPr>
            </w:pPr>
            <w:r w:rsidRPr="00746461">
              <w:rPr>
                <w:b/>
              </w:rPr>
              <w:t xml:space="preserve">-496,034 </w:t>
            </w:r>
          </w:p>
        </w:tc>
        <w:tc>
          <w:tcPr>
            <w:tcW w:w="882" w:type="pct"/>
            <w:tcBorders>
              <w:top w:val="nil"/>
              <w:bottom w:val="nil"/>
            </w:tcBorders>
            <w:vAlign w:val="center"/>
          </w:tcPr>
          <w:p w:rsidR="00746461" w:rsidRPr="00746461" w:rsidRDefault="00746461" w:rsidP="00746461">
            <w:r w:rsidRPr="00746461">
              <w:t xml:space="preserve">1,407,930,990,140 </w:t>
            </w:r>
          </w:p>
        </w:tc>
        <w:tc>
          <w:tcPr>
            <w:tcW w:w="989" w:type="pct"/>
            <w:tcBorders>
              <w:top w:val="nil"/>
              <w:bottom w:val="nil"/>
            </w:tcBorders>
            <w:vAlign w:val="center"/>
          </w:tcPr>
          <w:p w:rsidR="00746461" w:rsidRPr="00746461" w:rsidRDefault="00746461" w:rsidP="00746461">
            <w:r w:rsidRPr="00746461">
              <w:t xml:space="preserve">1,394,107,466,080 </w:t>
            </w:r>
          </w:p>
        </w:tc>
        <w:tc>
          <w:tcPr>
            <w:tcW w:w="798" w:type="pct"/>
            <w:tcBorders>
              <w:top w:val="nil"/>
              <w:bottom w:val="nil"/>
            </w:tcBorders>
            <w:vAlign w:val="center"/>
          </w:tcPr>
          <w:p w:rsidR="00746461" w:rsidRPr="00746461" w:rsidRDefault="00746461" w:rsidP="00746461">
            <w:pPr>
              <w:rPr>
                <w:b/>
              </w:rPr>
            </w:pPr>
            <w:r w:rsidRPr="00746461">
              <w:rPr>
                <w:b/>
              </w:rPr>
              <w:t xml:space="preserve">13,823,524,060 </w:t>
            </w:r>
          </w:p>
        </w:tc>
      </w:tr>
      <w:tr w:rsidR="00746461" w:rsidRPr="00746461" w:rsidTr="00392C84">
        <w:tc>
          <w:tcPr>
            <w:tcW w:w="341" w:type="pct"/>
            <w:tcBorders>
              <w:top w:val="nil"/>
            </w:tcBorders>
            <w:vAlign w:val="center"/>
          </w:tcPr>
          <w:p w:rsidR="00746461" w:rsidRPr="00746461" w:rsidRDefault="00746461" w:rsidP="00746461">
            <w:r w:rsidRPr="00746461">
              <w:t>2011</w:t>
            </w:r>
          </w:p>
        </w:tc>
        <w:tc>
          <w:tcPr>
            <w:tcW w:w="665" w:type="pct"/>
            <w:tcBorders>
              <w:top w:val="nil"/>
            </w:tcBorders>
            <w:vAlign w:val="center"/>
          </w:tcPr>
          <w:p w:rsidR="00746461" w:rsidRPr="00746461" w:rsidRDefault="00746461" w:rsidP="00746461">
            <w:r w:rsidRPr="00746461">
              <w:t xml:space="preserve">21,131,395 </w:t>
            </w:r>
          </w:p>
        </w:tc>
        <w:tc>
          <w:tcPr>
            <w:tcW w:w="665" w:type="pct"/>
            <w:tcBorders>
              <w:top w:val="nil"/>
            </w:tcBorders>
            <w:vAlign w:val="center"/>
          </w:tcPr>
          <w:p w:rsidR="00746461" w:rsidRPr="00746461" w:rsidRDefault="00746461" w:rsidP="00746461">
            <w:r w:rsidRPr="00746461">
              <w:t xml:space="preserve">21,488,265 </w:t>
            </w:r>
          </w:p>
        </w:tc>
        <w:tc>
          <w:tcPr>
            <w:tcW w:w="661" w:type="pct"/>
            <w:tcBorders>
              <w:top w:val="nil"/>
            </w:tcBorders>
            <w:vAlign w:val="center"/>
          </w:tcPr>
          <w:p w:rsidR="00746461" w:rsidRPr="00746461" w:rsidRDefault="00746461" w:rsidP="00746461">
            <w:pPr>
              <w:rPr>
                <w:b/>
              </w:rPr>
            </w:pPr>
            <w:r w:rsidRPr="00746461">
              <w:rPr>
                <w:b/>
              </w:rPr>
              <w:t xml:space="preserve">-356,869 </w:t>
            </w:r>
          </w:p>
        </w:tc>
        <w:tc>
          <w:tcPr>
            <w:tcW w:w="882" w:type="pct"/>
            <w:tcBorders>
              <w:top w:val="nil"/>
            </w:tcBorders>
            <w:vAlign w:val="center"/>
          </w:tcPr>
          <w:p w:rsidR="00746461" w:rsidRPr="00746461" w:rsidRDefault="00746461" w:rsidP="00746461">
            <w:r w:rsidRPr="00746461">
              <w:t xml:space="preserve">1,529,014,610,500 </w:t>
            </w:r>
          </w:p>
        </w:tc>
        <w:tc>
          <w:tcPr>
            <w:tcW w:w="989" w:type="pct"/>
            <w:tcBorders>
              <w:top w:val="nil"/>
            </w:tcBorders>
            <w:vAlign w:val="center"/>
          </w:tcPr>
          <w:p w:rsidR="00746461" w:rsidRPr="00746461" w:rsidRDefault="00746461" w:rsidP="00746461">
            <w:r w:rsidRPr="00746461">
              <w:t xml:space="preserve">1,515,246,142,760 </w:t>
            </w:r>
          </w:p>
        </w:tc>
        <w:tc>
          <w:tcPr>
            <w:tcW w:w="798" w:type="pct"/>
            <w:tcBorders>
              <w:top w:val="nil"/>
            </w:tcBorders>
            <w:vAlign w:val="center"/>
          </w:tcPr>
          <w:p w:rsidR="00746461" w:rsidRPr="00746461" w:rsidRDefault="00746461" w:rsidP="00746461">
            <w:pPr>
              <w:rPr>
                <w:b/>
              </w:rPr>
            </w:pPr>
            <w:r w:rsidRPr="00746461">
              <w:rPr>
                <w:b/>
              </w:rPr>
              <w:t xml:space="preserve">13,768,467,740 </w:t>
            </w:r>
          </w:p>
        </w:tc>
      </w:tr>
      <w:tr w:rsidR="00746461" w:rsidRPr="00746461" w:rsidTr="00392C84">
        <w:tc>
          <w:tcPr>
            <w:tcW w:w="341" w:type="pct"/>
            <w:tcBorders>
              <w:top w:val="nil"/>
            </w:tcBorders>
            <w:vAlign w:val="center"/>
          </w:tcPr>
          <w:p w:rsidR="00746461" w:rsidRPr="00746461" w:rsidRDefault="00746461" w:rsidP="00746461">
            <w:r w:rsidRPr="00746461">
              <w:t>합계</w:t>
            </w:r>
          </w:p>
        </w:tc>
        <w:tc>
          <w:tcPr>
            <w:tcW w:w="665" w:type="pct"/>
            <w:tcBorders>
              <w:top w:val="nil"/>
            </w:tcBorders>
            <w:vAlign w:val="center"/>
          </w:tcPr>
          <w:p w:rsidR="00746461" w:rsidRPr="00746461" w:rsidRDefault="00746461" w:rsidP="00746461">
            <w:r w:rsidRPr="00746461">
              <w:t xml:space="preserve">165,722,875 </w:t>
            </w:r>
          </w:p>
        </w:tc>
        <w:tc>
          <w:tcPr>
            <w:tcW w:w="665" w:type="pct"/>
            <w:tcBorders>
              <w:top w:val="nil"/>
            </w:tcBorders>
            <w:vAlign w:val="center"/>
          </w:tcPr>
          <w:p w:rsidR="00746461" w:rsidRPr="00746461" w:rsidRDefault="00746461" w:rsidP="00746461">
            <w:r w:rsidRPr="00746461">
              <w:t xml:space="preserve">169,328,189 </w:t>
            </w:r>
          </w:p>
        </w:tc>
        <w:tc>
          <w:tcPr>
            <w:tcW w:w="661" w:type="pct"/>
            <w:tcBorders>
              <w:top w:val="nil"/>
            </w:tcBorders>
            <w:vAlign w:val="center"/>
          </w:tcPr>
          <w:p w:rsidR="00746461" w:rsidRPr="00746461" w:rsidRDefault="00746461" w:rsidP="00746461">
            <w:pPr>
              <w:rPr>
                <w:b/>
              </w:rPr>
            </w:pPr>
            <w:r w:rsidRPr="00746461">
              <w:rPr>
                <w:b/>
              </w:rPr>
              <w:t xml:space="preserve">-3,605,313 </w:t>
            </w:r>
          </w:p>
        </w:tc>
        <w:tc>
          <w:tcPr>
            <w:tcW w:w="882" w:type="pct"/>
            <w:tcBorders>
              <w:top w:val="nil"/>
            </w:tcBorders>
            <w:vAlign w:val="center"/>
          </w:tcPr>
          <w:p w:rsidR="00746461" w:rsidRPr="00746461" w:rsidRDefault="00746461" w:rsidP="00746461">
            <w:r w:rsidRPr="00746461">
              <w:t xml:space="preserve">9,361,203,329,065 </w:t>
            </w:r>
          </w:p>
        </w:tc>
        <w:tc>
          <w:tcPr>
            <w:tcW w:w="989" w:type="pct"/>
            <w:tcBorders>
              <w:top w:val="nil"/>
            </w:tcBorders>
            <w:vAlign w:val="center"/>
          </w:tcPr>
          <w:p w:rsidR="00746461" w:rsidRPr="00746461" w:rsidRDefault="00746461" w:rsidP="00746461">
            <w:r w:rsidRPr="00746461">
              <w:t xml:space="preserve">9,330,064,204,891 </w:t>
            </w:r>
          </w:p>
        </w:tc>
        <w:tc>
          <w:tcPr>
            <w:tcW w:w="798" w:type="pct"/>
            <w:tcBorders>
              <w:top w:val="nil"/>
            </w:tcBorders>
            <w:vAlign w:val="center"/>
          </w:tcPr>
          <w:p w:rsidR="00746461" w:rsidRPr="00746461" w:rsidRDefault="00746461" w:rsidP="00746461">
            <w:pPr>
              <w:rPr>
                <w:b/>
              </w:rPr>
            </w:pPr>
            <w:r w:rsidRPr="00746461">
              <w:rPr>
                <w:b/>
              </w:rPr>
              <w:t xml:space="preserve">31,139,124,174 </w:t>
            </w:r>
          </w:p>
        </w:tc>
      </w:tr>
    </w:tbl>
    <w:p w:rsidR="00746461" w:rsidRPr="00392C84" w:rsidRDefault="00746461" w:rsidP="00746461">
      <w:pPr>
        <w:rPr>
          <w:b/>
          <w:sz w:val="10"/>
        </w:rPr>
      </w:pPr>
    </w:p>
    <w:p w:rsidR="00746461" w:rsidRPr="00746461" w:rsidRDefault="00746461" w:rsidP="00746461">
      <w:pPr>
        <w:rPr>
          <w:b/>
        </w:rPr>
      </w:pPr>
      <w:r w:rsidRPr="00746461">
        <w:rPr>
          <w:b/>
        </w:rPr>
        <w:t>Panel B. 증권회사의 옵션 거래량과 거래강도 추세</w:t>
      </w:r>
    </w:p>
    <w:tbl>
      <w:tblPr>
        <w:tblStyle w:val="ac"/>
        <w:tblW w:w="5000" w:type="pct"/>
        <w:tblBorders>
          <w:left w:val="none" w:sz="0" w:space="0" w:color="auto"/>
          <w:right w:val="none" w:sz="0" w:space="0" w:color="auto"/>
          <w:insideV w:val="none" w:sz="0" w:space="0" w:color="auto"/>
        </w:tblBorders>
        <w:tblLook w:val="04A0"/>
      </w:tblPr>
      <w:tblGrid>
        <w:gridCol w:w="950"/>
        <w:gridCol w:w="1850"/>
        <w:gridCol w:w="1850"/>
        <w:gridCol w:w="1839"/>
        <w:gridCol w:w="2454"/>
        <w:gridCol w:w="2752"/>
        <w:gridCol w:w="2218"/>
      </w:tblGrid>
      <w:tr w:rsidR="00746461" w:rsidRPr="00746461" w:rsidTr="00392C84">
        <w:tc>
          <w:tcPr>
            <w:tcW w:w="341" w:type="pct"/>
            <w:tcBorders>
              <w:bottom w:val="single" w:sz="4" w:space="0" w:color="auto"/>
            </w:tcBorders>
            <w:vAlign w:val="center"/>
          </w:tcPr>
          <w:p w:rsidR="00746461" w:rsidRPr="00746461" w:rsidRDefault="00746461" w:rsidP="00746461">
            <w:r w:rsidRPr="00746461">
              <w:t>연도</w:t>
            </w:r>
          </w:p>
        </w:tc>
        <w:tc>
          <w:tcPr>
            <w:tcW w:w="665" w:type="pct"/>
            <w:tcBorders>
              <w:bottom w:val="single" w:sz="4" w:space="0" w:color="auto"/>
            </w:tcBorders>
            <w:vAlign w:val="center"/>
          </w:tcPr>
          <w:p w:rsidR="00746461" w:rsidRPr="00746461" w:rsidRDefault="00746461" w:rsidP="00746461">
            <w:proofErr w:type="spellStart"/>
            <w:r w:rsidRPr="00746461">
              <w:t>매수량</w:t>
            </w:r>
            <w:proofErr w:type="spellEnd"/>
            <w:r w:rsidRPr="00746461">
              <w:t>(개)</w:t>
            </w:r>
          </w:p>
        </w:tc>
        <w:tc>
          <w:tcPr>
            <w:tcW w:w="665" w:type="pct"/>
            <w:tcBorders>
              <w:bottom w:val="single" w:sz="4" w:space="0" w:color="auto"/>
            </w:tcBorders>
          </w:tcPr>
          <w:p w:rsidR="00746461" w:rsidRPr="00746461" w:rsidRDefault="00746461" w:rsidP="00746461">
            <w:proofErr w:type="spellStart"/>
            <w:r w:rsidRPr="00746461">
              <w:t>매도량</w:t>
            </w:r>
            <w:proofErr w:type="spellEnd"/>
            <w:r w:rsidRPr="00746461">
              <w:t>(개)</w:t>
            </w:r>
          </w:p>
        </w:tc>
        <w:tc>
          <w:tcPr>
            <w:tcW w:w="661" w:type="pct"/>
            <w:tcBorders>
              <w:bottom w:val="single" w:sz="4" w:space="0" w:color="auto"/>
            </w:tcBorders>
          </w:tcPr>
          <w:p w:rsidR="00746461" w:rsidRPr="00746461" w:rsidRDefault="00746461" w:rsidP="00746461">
            <w:r w:rsidRPr="00746461">
              <w:t>매수-매도(개)</w:t>
            </w:r>
          </w:p>
        </w:tc>
        <w:tc>
          <w:tcPr>
            <w:tcW w:w="882" w:type="pct"/>
            <w:tcBorders>
              <w:bottom w:val="single" w:sz="4" w:space="0" w:color="auto"/>
            </w:tcBorders>
          </w:tcPr>
          <w:p w:rsidR="00746461" w:rsidRPr="00746461" w:rsidRDefault="00746461" w:rsidP="00746461">
            <w:r w:rsidRPr="00746461">
              <w:t>매수대금(원)</w:t>
            </w:r>
          </w:p>
        </w:tc>
        <w:tc>
          <w:tcPr>
            <w:tcW w:w="989" w:type="pct"/>
            <w:tcBorders>
              <w:bottom w:val="single" w:sz="4" w:space="0" w:color="auto"/>
            </w:tcBorders>
          </w:tcPr>
          <w:p w:rsidR="00746461" w:rsidRPr="00746461" w:rsidRDefault="00746461" w:rsidP="00746461">
            <w:r w:rsidRPr="00746461">
              <w:t>매도대금(원)</w:t>
            </w:r>
          </w:p>
        </w:tc>
        <w:tc>
          <w:tcPr>
            <w:tcW w:w="798" w:type="pct"/>
            <w:tcBorders>
              <w:bottom w:val="single" w:sz="4" w:space="0" w:color="auto"/>
            </w:tcBorders>
          </w:tcPr>
          <w:p w:rsidR="00746461" w:rsidRPr="00746461" w:rsidRDefault="00746461" w:rsidP="00746461">
            <w:r w:rsidRPr="00746461">
              <w:t>매수-매도(원)</w:t>
            </w:r>
          </w:p>
        </w:tc>
      </w:tr>
      <w:tr w:rsidR="00746461" w:rsidRPr="00746461" w:rsidTr="00392C84">
        <w:tc>
          <w:tcPr>
            <w:tcW w:w="341" w:type="pct"/>
            <w:tcBorders>
              <w:bottom w:val="nil"/>
            </w:tcBorders>
            <w:vAlign w:val="center"/>
          </w:tcPr>
          <w:p w:rsidR="00746461" w:rsidRPr="00746461" w:rsidRDefault="00746461" w:rsidP="00746461">
            <w:r w:rsidRPr="00746461">
              <w:t>2004</w:t>
            </w:r>
          </w:p>
        </w:tc>
        <w:tc>
          <w:tcPr>
            <w:tcW w:w="665" w:type="pct"/>
            <w:tcBorders>
              <w:bottom w:val="nil"/>
            </w:tcBorders>
            <w:vAlign w:val="center"/>
          </w:tcPr>
          <w:p w:rsidR="00746461" w:rsidRPr="00746461" w:rsidRDefault="00746461" w:rsidP="00746461">
            <w:r w:rsidRPr="00746461">
              <w:t>18,155,582</w:t>
            </w:r>
          </w:p>
        </w:tc>
        <w:tc>
          <w:tcPr>
            <w:tcW w:w="665" w:type="pct"/>
            <w:tcBorders>
              <w:bottom w:val="nil"/>
            </w:tcBorders>
            <w:vAlign w:val="center"/>
          </w:tcPr>
          <w:p w:rsidR="00746461" w:rsidRPr="00746461" w:rsidRDefault="00746461" w:rsidP="00746461">
            <w:r w:rsidRPr="00746461">
              <w:t>18,501,209</w:t>
            </w:r>
          </w:p>
        </w:tc>
        <w:tc>
          <w:tcPr>
            <w:tcW w:w="661" w:type="pct"/>
            <w:tcBorders>
              <w:bottom w:val="nil"/>
            </w:tcBorders>
            <w:vAlign w:val="center"/>
          </w:tcPr>
          <w:p w:rsidR="00746461" w:rsidRPr="00746461" w:rsidRDefault="00746461" w:rsidP="00746461">
            <w:pPr>
              <w:rPr>
                <w:b/>
              </w:rPr>
            </w:pPr>
            <w:r w:rsidRPr="00746461">
              <w:rPr>
                <w:b/>
              </w:rPr>
              <w:t>-345,627</w:t>
            </w:r>
          </w:p>
        </w:tc>
        <w:tc>
          <w:tcPr>
            <w:tcW w:w="882" w:type="pct"/>
            <w:tcBorders>
              <w:bottom w:val="nil"/>
            </w:tcBorders>
            <w:vAlign w:val="center"/>
          </w:tcPr>
          <w:p w:rsidR="00746461" w:rsidRPr="00746461" w:rsidRDefault="00746461" w:rsidP="00746461">
            <w:r w:rsidRPr="00746461">
              <w:t>946,844,137,082</w:t>
            </w:r>
          </w:p>
        </w:tc>
        <w:tc>
          <w:tcPr>
            <w:tcW w:w="989" w:type="pct"/>
            <w:tcBorders>
              <w:bottom w:val="nil"/>
            </w:tcBorders>
            <w:vAlign w:val="center"/>
          </w:tcPr>
          <w:p w:rsidR="00746461" w:rsidRPr="00746461" w:rsidRDefault="00746461" w:rsidP="00746461">
            <w:r w:rsidRPr="00746461">
              <w:t>946,862,043,857</w:t>
            </w:r>
          </w:p>
        </w:tc>
        <w:tc>
          <w:tcPr>
            <w:tcW w:w="798" w:type="pct"/>
            <w:tcBorders>
              <w:bottom w:val="nil"/>
            </w:tcBorders>
            <w:vAlign w:val="center"/>
          </w:tcPr>
          <w:p w:rsidR="00746461" w:rsidRPr="00746461" w:rsidRDefault="00746461" w:rsidP="00746461">
            <w:pPr>
              <w:rPr>
                <w:b/>
              </w:rPr>
            </w:pPr>
            <w:r w:rsidRPr="00746461">
              <w:rPr>
                <w:b/>
              </w:rPr>
              <w:t>-17,906,776</w:t>
            </w:r>
          </w:p>
        </w:tc>
      </w:tr>
      <w:tr w:rsidR="00746461" w:rsidRPr="00746461" w:rsidTr="00392C84">
        <w:tc>
          <w:tcPr>
            <w:tcW w:w="341" w:type="pct"/>
            <w:tcBorders>
              <w:top w:val="nil"/>
              <w:bottom w:val="nil"/>
            </w:tcBorders>
            <w:vAlign w:val="center"/>
          </w:tcPr>
          <w:p w:rsidR="00746461" w:rsidRPr="00746461" w:rsidRDefault="00746461" w:rsidP="00746461">
            <w:r w:rsidRPr="00746461">
              <w:t>2005</w:t>
            </w:r>
          </w:p>
        </w:tc>
        <w:tc>
          <w:tcPr>
            <w:tcW w:w="665" w:type="pct"/>
            <w:tcBorders>
              <w:top w:val="nil"/>
              <w:bottom w:val="nil"/>
            </w:tcBorders>
            <w:vAlign w:val="center"/>
          </w:tcPr>
          <w:p w:rsidR="00746461" w:rsidRPr="00746461" w:rsidRDefault="00746461" w:rsidP="00746461">
            <w:r w:rsidRPr="00746461">
              <w:t>20,074,334</w:t>
            </w:r>
          </w:p>
        </w:tc>
        <w:tc>
          <w:tcPr>
            <w:tcW w:w="665" w:type="pct"/>
            <w:tcBorders>
              <w:top w:val="nil"/>
              <w:bottom w:val="nil"/>
            </w:tcBorders>
            <w:vAlign w:val="center"/>
          </w:tcPr>
          <w:p w:rsidR="00746461" w:rsidRPr="00746461" w:rsidRDefault="00746461" w:rsidP="00746461">
            <w:r w:rsidRPr="00746461">
              <w:t>20,457,913</w:t>
            </w:r>
          </w:p>
        </w:tc>
        <w:tc>
          <w:tcPr>
            <w:tcW w:w="661" w:type="pct"/>
            <w:tcBorders>
              <w:top w:val="nil"/>
              <w:bottom w:val="nil"/>
            </w:tcBorders>
            <w:vAlign w:val="center"/>
          </w:tcPr>
          <w:p w:rsidR="00746461" w:rsidRPr="00746461" w:rsidRDefault="00746461" w:rsidP="00746461">
            <w:pPr>
              <w:rPr>
                <w:b/>
              </w:rPr>
            </w:pPr>
            <w:r w:rsidRPr="00746461">
              <w:rPr>
                <w:b/>
              </w:rPr>
              <w:t>-383,579</w:t>
            </w:r>
          </w:p>
        </w:tc>
        <w:tc>
          <w:tcPr>
            <w:tcW w:w="882" w:type="pct"/>
            <w:tcBorders>
              <w:top w:val="nil"/>
              <w:bottom w:val="nil"/>
            </w:tcBorders>
            <w:vAlign w:val="center"/>
          </w:tcPr>
          <w:p w:rsidR="00746461" w:rsidRPr="00746461" w:rsidRDefault="00746461" w:rsidP="00746461">
            <w:r w:rsidRPr="00746461">
              <w:t>933,194,405,300</w:t>
            </w:r>
          </w:p>
        </w:tc>
        <w:tc>
          <w:tcPr>
            <w:tcW w:w="989" w:type="pct"/>
            <w:tcBorders>
              <w:top w:val="nil"/>
              <w:bottom w:val="nil"/>
            </w:tcBorders>
            <w:vAlign w:val="center"/>
          </w:tcPr>
          <w:p w:rsidR="00746461" w:rsidRPr="00746461" w:rsidRDefault="00746461" w:rsidP="00746461">
            <w:r w:rsidRPr="00746461">
              <w:t>933,381,305,500</w:t>
            </w:r>
          </w:p>
        </w:tc>
        <w:tc>
          <w:tcPr>
            <w:tcW w:w="798" w:type="pct"/>
            <w:tcBorders>
              <w:top w:val="nil"/>
              <w:bottom w:val="nil"/>
            </w:tcBorders>
            <w:vAlign w:val="center"/>
          </w:tcPr>
          <w:p w:rsidR="00746461" w:rsidRPr="00746461" w:rsidRDefault="00746461" w:rsidP="00746461">
            <w:pPr>
              <w:rPr>
                <w:b/>
              </w:rPr>
            </w:pPr>
            <w:r w:rsidRPr="00746461">
              <w:rPr>
                <w:b/>
              </w:rPr>
              <w:t>-186,900,200</w:t>
            </w:r>
          </w:p>
        </w:tc>
      </w:tr>
      <w:tr w:rsidR="00746461" w:rsidRPr="00746461" w:rsidTr="00392C84">
        <w:tc>
          <w:tcPr>
            <w:tcW w:w="341" w:type="pct"/>
            <w:tcBorders>
              <w:top w:val="nil"/>
              <w:bottom w:val="nil"/>
            </w:tcBorders>
            <w:vAlign w:val="center"/>
          </w:tcPr>
          <w:p w:rsidR="00746461" w:rsidRPr="00746461" w:rsidRDefault="00746461" w:rsidP="00746461">
            <w:r w:rsidRPr="00746461">
              <w:t>2006</w:t>
            </w:r>
          </w:p>
        </w:tc>
        <w:tc>
          <w:tcPr>
            <w:tcW w:w="665" w:type="pct"/>
            <w:tcBorders>
              <w:top w:val="nil"/>
              <w:bottom w:val="nil"/>
            </w:tcBorders>
            <w:vAlign w:val="center"/>
          </w:tcPr>
          <w:p w:rsidR="00746461" w:rsidRPr="00746461" w:rsidRDefault="00746461" w:rsidP="00746461">
            <w:r w:rsidRPr="00746461">
              <w:t>21,271,888</w:t>
            </w:r>
          </w:p>
        </w:tc>
        <w:tc>
          <w:tcPr>
            <w:tcW w:w="665" w:type="pct"/>
            <w:tcBorders>
              <w:top w:val="nil"/>
              <w:bottom w:val="nil"/>
            </w:tcBorders>
            <w:vAlign w:val="center"/>
          </w:tcPr>
          <w:p w:rsidR="00746461" w:rsidRPr="00746461" w:rsidRDefault="00746461" w:rsidP="00746461">
            <w:r w:rsidRPr="00746461">
              <w:t>21,734,893</w:t>
            </w:r>
          </w:p>
        </w:tc>
        <w:tc>
          <w:tcPr>
            <w:tcW w:w="661" w:type="pct"/>
            <w:tcBorders>
              <w:top w:val="nil"/>
              <w:bottom w:val="nil"/>
            </w:tcBorders>
            <w:vAlign w:val="center"/>
          </w:tcPr>
          <w:p w:rsidR="00746461" w:rsidRPr="00746461" w:rsidRDefault="00746461" w:rsidP="00746461">
            <w:pPr>
              <w:rPr>
                <w:b/>
              </w:rPr>
            </w:pPr>
            <w:r w:rsidRPr="00746461">
              <w:rPr>
                <w:b/>
              </w:rPr>
              <w:t>-463,006</w:t>
            </w:r>
          </w:p>
        </w:tc>
        <w:tc>
          <w:tcPr>
            <w:tcW w:w="882" w:type="pct"/>
            <w:tcBorders>
              <w:top w:val="nil"/>
              <w:bottom w:val="nil"/>
            </w:tcBorders>
            <w:vAlign w:val="center"/>
          </w:tcPr>
          <w:p w:rsidR="00746461" w:rsidRPr="00746461" w:rsidRDefault="00746461" w:rsidP="00746461">
            <w:r w:rsidRPr="00746461">
              <w:t>924,070,181,180</w:t>
            </w:r>
          </w:p>
        </w:tc>
        <w:tc>
          <w:tcPr>
            <w:tcW w:w="989" w:type="pct"/>
            <w:tcBorders>
              <w:top w:val="nil"/>
              <w:bottom w:val="nil"/>
            </w:tcBorders>
            <w:vAlign w:val="center"/>
          </w:tcPr>
          <w:p w:rsidR="00746461" w:rsidRPr="00746461" w:rsidRDefault="00746461" w:rsidP="00746461">
            <w:r w:rsidRPr="00746461">
              <w:t>925,192,315,060</w:t>
            </w:r>
          </w:p>
        </w:tc>
        <w:tc>
          <w:tcPr>
            <w:tcW w:w="798" w:type="pct"/>
            <w:tcBorders>
              <w:top w:val="nil"/>
              <w:bottom w:val="nil"/>
            </w:tcBorders>
            <w:vAlign w:val="center"/>
          </w:tcPr>
          <w:p w:rsidR="00746461" w:rsidRPr="00746461" w:rsidRDefault="00746461" w:rsidP="00746461">
            <w:pPr>
              <w:rPr>
                <w:b/>
              </w:rPr>
            </w:pPr>
            <w:r w:rsidRPr="00746461">
              <w:rPr>
                <w:b/>
              </w:rPr>
              <w:t>-1,122,133,880</w:t>
            </w:r>
          </w:p>
        </w:tc>
      </w:tr>
      <w:tr w:rsidR="00746461" w:rsidRPr="00746461" w:rsidTr="00392C84">
        <w:tc>
          <w:tcPr>
            <w:tcW w:w="341" w:type="pct"/>
            <w:tcBorders>
              <w:top w:val="nil"/>
              <w:bottom w:val="nil"/>
            </w:tcBorders>
            <w:vAlign w:val="center"/>
          </w:tcPr>
          <w:p w:rsidR="00746461" w:rsidRPr="00746461" w:rsidRDefault="00746461" w:rsidP="00746461">
            <w:r w:rsidRPr="00746461">
              <w:t>2007</w:t>
            </w:r>
          </w:p>
        </w:tc>
        <w:tc>
          <w:tcPr>
            <w:tcW w:w="665" w:type="pct"/>
            <w:tcBorders>
              <w:top w:val="nil"/>
              <w:bottom w:val="nil"/>
            </w:tcBorders>
            <w:vAlign w:val="center"/>
          </w:tcPr>
          <w:p w:rsidR="00746461" w:rsidRPr="00746461" w:rsidRDefault="00746461" w:rsidP="00746461">
            <w:r w:rsidRPr="00746461">
              <w:t>22,458,481</w:t>
            </w:r>
          </w:p>
        </w:tc>
        <w:tc>
          <w:tcPr>
            <w:tcW w:w="665" w:type="pct"/>
            <w:tcBorders>
              <w:top w:val="nil"/>
              <w:bottom w:val="nil"/>
            </w:tcBorders>
            <w:vAlign w:val="center"/>
          </w:tcPr>
          <w:p w:rsidR="00746461" w:rsidRPr="00746461" w:rsidRDefault="00746461" w:rsidP="00746461">
            <w:r w:rsidRPr="00746461">
              <w:t>22,889,492</w:t>
            </w:r>
          </w:p>
        </w:tc>
        <w:tc>
          <w:tcPr>
            <w:tcW w:w="661" w:type="pct"/>
            <w:tcBorders>
              <w:top w:val="nil"/>
              <w:bottom w:val="nil"/>
            </w:tcBorders>
            <w:vAlign w:val="center"/>
          </w:tcPr>
          <w:p w:rsidR="00746461" w:rsidRPr="00746461" w:rsidRDefault="00746461" w:rsidP="00746461">
            <w:pPr>
              <w:rPr>
                <w:b/>
              </w:rPr>
            </w:pPr>
            <w:r w:rsidRPr="00746461">
              <w:rPr>
                <w:b/>
              </w:rPr>
              <w:t>-431,011</w:t>
            </w:r>
          </w:p>
        </w:tc>
        <w:tc>
          <w:tcPr>
            <w:tcW w:w="882" w:type="pct"/>
            <w:tcBorders>
              <w:top w:val="nil"/>
              <w:bottom w:val="nil"/>
            </w:tcBorders>
            <w:vAlign w:val="center"/>
          </w:tcPr>
          <w:p w:rsidR="00746461" w:rsidRPr="00746461" w:rsidRDefault="00746461" w:rsidP="00746461">
            <w:r w:rsidRPr="00746461">
              <w:t>1,227,644,476,367</w:t>
            </w:r>
          </w:p>
        </w:tc>
        <w:tc>
          <w:tcPr>
            <w:tcW w:w="989" w:type="pct"/>
            <w:tcBorders>
              <w:top w:val="nil"/>
              <w:bottom w:val="nil"/>
            </w:tcBorders>
            <w:vAlign w:val="center"/>
          </w:tcPr>
          <w:p w:rsidR="00746461" w:rsidRPr="00746461" w:rsidRDefault="00746461" w:rsidP="00746461">
            <w:r w:rsidRPr="00746461">
              <w:t>1,226,439,128,286</w:t>
            </w:r>
          </w:p>
        </w:tc>
        <w:tc>
          <w:tcPr>
            <w:tcW w:w="798" w:type="pct"/>
            <w:tcBorders>
              <w:top w:val="nil"/>
              <w:bottom w:val="nil"/>
            </w:tcBorders>
            <w:vAlign w:val="center"/>
          </w:tcPr>
          <w:p w:rsidR="00746461" w:rsidRPr="00746461" w:rsidRDefault="00746461" w:rsidP="00746461">
            <w:pPr>
              <w:rPr>
                <w:b/>
              </w:rPr>
            </w:pPr>
            <w:r w:rsidRPr="00746461">
              <w:rPr>
                <w:b/>
              </w:rPr>
              <w:t>1,205,348,082</w:t>
            </w:r>
          </w:p>
        </w:tc>
      </w:tr>
      <w:tr w:rsidR="00746461" w:rsidRPr="00746461" w:rsidTr="00392C84">
        <w:tc>
          <w:tcPr>
            <w:tcW w:w="341" w:type="pct"/>
            <w:tcBorders>
              <w:top w:val="nil"/>
              <w:bottom w:val="nil"/>
            </w:tcBorders>
            <w:vAlign w:val="center"/>
          </w:tcPr>
          <w:p w:rsidR="00746461" w:rsidRPr="00746461" w:rsidRDefault="00746461" w:rsidP="00746461">
            <w:r w:rsidRPr="00746461">
              <w:t>2008</w:t>
            </w:r>
          </w:p>
        </w:tc>
        <w:tc>
          <w:tcPr>
            <w:tcW w:w="665" w:type="pct"/>
            <w:tcBorders>
              <w:top w:val="nil"/>
              <w:bottom w:val="nil"/>
            </w:tcBorders>
            <w:vAlign w:val="center"/>
          </w:tcPr>
          <w:p w:rsidR="00746461" w:rsidRPr="00746461" w:rsidRDefault="00746461" w:rsidP="00746461">
            <w:r w:rsidRPr="00746461">
              <w:t>19,301,919</w:t>
            </w:r>
          </w:p>
        </w:tc>
        <w:tc>
          <w:tcPr>
            <w:tcW w:w="665" w:type="pct"/>
            <w:tcBorders>
              <w:top w:val="nil"/>
              <w:bottom w:val="nil"/>
            </w:tcBorders>
            <w:vAlign w:val="center"/>
          </w:tcPr>
          <w:p w:rsidR="00746461" w:rsidRPr="00746461" w:rsidRDefault="00746461" w:rsidP="00746461">
            <w:r w:rsidRPr="00746461">
              <w:t>19,768,280</w:t>
            </w:r>
          </w:p>
        </w:tc>
        <w:tc>
          <w:tcPr>
            <w:tcW w:w="661" w:type="pct"/>
            <w:tcBorders>
              <w:top w:val="nil"/>
              <w:bottom w:val="nil"/>
            </w:tcBorders>
            <w:vAlign w:val="center"/>
          </w:tcPr>
          <w:p w:rsidR="00746461" w:rsidRPr="00746461" w:rsidRDefault="00746461" w:rsidP="00746461">
            <w:pPr>
              <w:rPr>
                <w:b/>
              </w:rPr>
            </w:pPr>
            <w:r w:rsidRPr="00746461">
              <w:rPr>
                <w:b/>
              </w:rPr>
              <w:t>-466,361</w:t>
            </w:r>
          </w:p>
        </w:tc>
        <w:tc>
          <w:tcPr>
            <w:tcW w:w="882" w:type="pct"/>
            <w:tcBorders>
              <w:top w:val="nil"/>
              <w:bottom w:val="nil"/>
            </w:tcBorders>
            <w:vAlign w:val="center"/>
          </w:tcPr>
          <w:p w:rsidR="00746461" w:rsidRPr="00746461" w:rsidRDefault="00746461" w:rsidP="00746461">
            <w:r w:rsidRPr="00746461">
              <w:t>1,302,106,100,939</w:t>
            </w:r>
          </w:p>
        </w:tc>
        <w:tc>
          <w:tcPr>
            <w:tcW w:w="989" w:type="pct"/>
            <w:tcBorders>
              <w:top w:val="nil"/>
              <w:bottom w:val="nil"/>
            </w:tcBorders>
            <w:vAlign w:val="center"/>
          </w:tcPr>
          <w:p w:rsidR="00746461" w:rsidRPr="00746461" w:rsidRDefault="00746461" w:rsidP="00746461">
            <w:r w:rsidRPr="00746461">
              <w:t>1,304,701,118,571</w:t>
            </w:r>
          </w:p>
        </w:tc>
        <w:tc>
          <w:tcPr>
            <w:tcW w:w="798" w:type="pct"/>
            <w:tcBorders>
              <w:top w:val="nil"/>
              <w:bottom w:val="nil"/>
            </w:tcBorders>
            <w:vAlign w:val="center"/>
          </w:tcPr>
          <w:p w:rsidR="00746461" w:rsidRPr="00746461" w:rsidRDefault="00746461" w:rsidP="00746461">
            <w:pPr>
              <w:rPr>
                <w:b/>
              </w:rPr>
            </w:pPr>
            <w:r w:rsidRPr="00746461">
              <w:rPr>
                <w:b/>
              </w:rPr>
              <w:t>-2,595,017,633</w:t>
            </w:r>
          </w:p>
        </w:tc>
      </w:tr>
      <w:tr w:rsidR="00746461" w:rsidRPr="00746461" w:rsidTr="00392C84">
        <w:tc>
          <w:tcPr>
            <w:tcW w:w="341" w:type="pct"/>
            <w:tcBorders>
              <w:top w:val="nil"/>
              <w:bottom w:val="nil"/>
            </w:tcBorders>
            <w:vAlign w:val="center"/>
          </w:tcPr>
          <w:p w:rsidR="00746461" w:rsidRPr="00746461" w:rsidRDefault="00746461" w:rsidP="00746461">
            <w:r w:rsidRPr="00746461">
              <w:t>2009</w:t>
            </w:r>
          </w:p>
        </w:tc>
        <w:tc>
          <w:tcPr>
            <w:tcW w:w="665" w:type="pct"/>
            <w:tcBorders>
              <w:top w:val="nil"/>
              <w:bottom w:val="nil"/>
            </w:tcBorders>
            <w:vAlign w:val="center"/>
          </w:tcPr>
          <w:p w:rsidR="00746461" w:rsidRPr="00746461" w:rsidRDefault="00746461" w:rsidP="00746461">
            <w:r w:rsidRPr="00746461">
              <w:t>17,951,153</w:t>
            </w:r>
          </w:p>
        </w:tc>
        <w:tc>
          <w:tcPr>
            <w:tcW w:w="665" w:type="pct"/>
            <w:tcBorders>
              <w:top w:val="nil"/>
              <w:bottom w:val="nil"/>
            </w:tcBorders>
            <w:vAlign w:val="center"/>
          </w:tcPr>
          <w:p w:rsidR="00746461" w:rsidRPr="00746461" w:rsidRDefault="00746461" w:rsidP="00746461">
            <w:r w:rsidRPr="00746461">
              <w:t>18,376,326</w:t>
            </w:r>
          </w:p>
        </w:tc>
        <w:tc>
          <w:tcPr>
            <w:tcW w:w="661" w:type="pct"/>
            <w:tcBorders>
              <w:top w:val="nil"/>
              <w:bottom w:val="nil"/>
            </w:tcBorders>
            <w:vAlign w:val="center"/>
          </w:tcPr>
          <w:p w:rsidR="00746461" w:rsidRPr="00746461" w:rsidRDefault="00746461" w:rsidP="00746461">
            <w:pPr>
              <w:rPr>
                <w:b/>
              </w:rPr>
            </w:pPr>
            <w:r w:rsidRPr="00746461">
              <w:rPr>
                <w:b/>
              </w:rPr>
              <w:t>-425,173</w:t>
            </w:r>
          </w:p>
        </w:tc>
        <w:tc>
          <w:tcPr>
            <w:tcW w:w="882" w:type="pct"/>
            <w:tcBorders>
              <w:top w:val="nil"/>
              <w:bottom w:val="nil"/>
            </w:tcBorders>
            <w:vAlign w:val="center"/>
          </w:tcPr>
          <w:p w:rsidR="00746461" w:rsidRPr="00746461" w:rsidRDefault="00746461" w:rsidP="00746461">
            <w:r w:rsidRPr="00746461">
              <w:t>945,923,572,588</w:t>
            </w:r>
          </w:p>
        </w:tc>
        <w:tc>
          <w:tcPr>
            <w:tcW w:w="989" w:type="pct"/>
            <w:tcBorders>
              <w:top w:val="nil"/>
              <w:bottom w:val="nil"/>
            </w:tcBorders>
            <w:vAlign w:val="center"/>
          </w:tcPr>
          <w:p w:rsidR="00746461" w:rsidRPr="00746461" w:rsidRDefault="00746461" w:rsidP="00746461">
            <w:r w:rsidRPr="00746461">
              <w:t>938,310,522,588</w:t>
            </w:r>
          </w:p>
        </w:tc>
        <w:tc>
          <w:tcPr>
            <w:tcW w:w="798" w:type="pct"/>
            <w:tcBorders>
              <w:top w:val="nil"/>
              <w:bottom w:val="nil"/>
            </w:tcBorders>
            <w:vAlign w:val="center"/>
          </w:tcPr>
          <w:p w:rsidR="00746461" w:rsidRPr="00746461" w:rsidRDefault="00746461" w:rsidP="00746461">
            <w:pPr>
              <w:rPr>
                <w:b/>
              </w:rPr>
            </w:pPr>
            <w:r w:rsidRPr="00746461">
              <w:rPr>
                <w:b/>
              </w:rPr>
              <w:t>7,613,050,000</w:t>
            </w:r>
          </w:p>
        </w:tc>
      </w:tr>
      <w:tr w:rsidR="00746461" w:rsidRPr="00746461" w:rsidTr="00392C84">
        <w:tc>
          <w:tcPr>
            <w:tcW w:w="341" w:type="pct"/>
            <w:tcBorders>
              <w:top w:val="nil"/>
              <w:bottom w:val="nil"/>
            </w:tcBorders>
            <w:vAlign w:val="center"/>
          </w:tcPr>
          <w:p w:rsidR="00746461" w:rsidRPr="00746461" w:rsidRDefault="00746461" w:rsidP="00746461">
            <w:r w:rsidRPr="00746461">
              <w:t>2010</w:t>
            </w:r>
          </w:p>
        </w:tc>
        <w:tc>
          <w:tcPr>
            <w:tcW w:w="665" w:type="pct"/>
            <w:tcBorders>
              <w:top w:val="nil"/>
              <w:bottom w:val="nil"/>
            </w:tcBorders>
            <w:vAlign w:val="center"/>
          </w:tcPr>
          <w:p w:rsidR="00746461" w:rsidRPr="00746461" w:rsidRDefault="00746461" w:rsidP="00746461">
            <w:r w:rsidRPr="00746461">
              <w:t>22,308,532</w:t>
            </w:r>
          </w:p>
        </w:tc>
        <w:tc>
          <w:tcPr>
            <w:tcW w:w="665" w:type="pct"/>
            <w:tcBorders>
              <w:top w:val="nil"/>
              <w:bottom w:val="nil"/>
            </w:tcBorders>
            <w:vAlign w:val="center"/>
          </w:tcPr>
          <w:p w:rsidR="00746461" w:rsidRPr="00746461" w:rsidRDefault="00746461" w:rsidP="00746461">
            <w:r w:rsidRPr="00746461">
              <w:t>22,739,757</w:t>
            </w:r>
          </w:p>
        </w:tc>
        <w:tc>
          <w:tcPr>
            <w:tcW w:w="661" w:type="pct"/>
            <w:tcBorders>
              <w:top w:val="nil"/>
              <w:bottom w:val="nil"/>
            </w:tcBorders>
            <w:vAlign w:val="center"/>
          </w:tcPr>
          <w:p w:rsidR="00746461" w:rsidRPr="00746461" w:rsidRDefault="00746461" w:rsidP="00746461">
            <w:pPr>
              <w:rPr>
                <w:b/>
              </w:rPr>
            </w:pPr>
            <w:r w:rsidRPr="00746461">
              <w:rPr>
                <w:b/>
              </w:rPr>
              <w:t>-431,224</w:t>
            </w:r>
          </w:p>
        </w:tc>
        <w:tc>
          <w:tcPr>
            <w:tcW w:w="882" w:type="pct"/>
            <w:tcBorders>
              <w:top w:val="nil"/>
              <w:bottom w:val="nil"/>
            </w:tcBorders>
            <w:vAlign w:val="center"/>
          </w:tcPr>
          <w:p w:rsidR="00746461" w:rsidRPr="00746461" w:rsidRDefault="00746461" w:rsidP="00746461">
            <w:r w:rsidRPr="00746461">
              <w:t>1,377,441,613,740</w:t>
            </w:r>
          </w:p>
        </w:tc>
        <w:tc>
          <w:tcPr>
            <w:tcW w:w="989" w:type="pct"/>
            <w:tcBorders>
              <w:top w:val="nil"/>
              <w:bottom w:val="nil"/>
            </w:tcBorders>
            <w:vAlign w:val="center"/>
          </w:tcPr>
          <w:p w:rsidR="00746461" w:rsidRPr="00746461" w:rsidRDefault="00746461" w:rsidP="00746461">
            <w:r w:rsidRPr="00746461">
              <w:t>1,363,127,280,440</w:t>
            </w:r>
          </w:p>
        </w:tc>
        <w:tc>
          <w:tcPr>
            <w:tcW w:w="798" w:type="pct"/>
            <w:tcBorders>
              <w:top w:val="nil"/>
              <w:bottom w:val="nil"/>
            </w:tcBorders>
            <w:vAlign w:val="center"/>
          </w:tcPr>
          <w:p w:rsidR="00746461" w:rsidRPr="00746461" w:rsidRDefault="00746461" w:rsidP="00746461">
            <w:pPr>
              <w:rPr>
                <w:b/>
              </w:rPr>
            </w:pPr>
            <w:r w:rsidRPr="00746461">
              <w:rPr>
                <w:b/>
              </w:rPr>
              <w:t>14,314,333,300</w:t>
            </w:r>
          </w:p>
        </w:tc>
      </w:tr>
      <w:tr w:rsidR="00746461" w:rsidRPr="00746461" w:rsidTr="00392C84">
        <w:tc>
          <w:tcPr>
            <w:tcW w:w="341" w:type="pct"/>
            <w:tcBorders>
              <w:top w:val="nil"/>
            </w:tcBorders>
            <w:vAlign w:val="center"/>
          </w:tcPr>
          <w:p w:rsidR="00746461" w:rsidRPr="00746461" w:rsidRDefault="00746461" w:rsidP="00746461">
            <w:r w:rsidRPr="00746461">
              <w:lastRenderedPageBreak/>
              <w:t>2011</w:t>
            </w:r>
          </w:p>
        </w:tc>
        <w:tc>
          <w:tcPr>
            <w:tcW w:w="665" w:type="pct"/>
            <w:tcBorders>
              <w:top w:val="nil"/>
            </w:tcBorders>
            <w:vAlign w:val="center"/>
          </w:tcPr>
          <w:p w:rsidR="00746461" w:rsidRPr="00746461" w:rsidRDefault="00746461" w:rsidP="00746461">
            <w:r w:rsidRPr="00746461">
              <w:t>21,039,178</w:t>
            </w:r>
          </w:p>
        </w:tc>
        <w:tc>
          <w:tcPr>
            <w:tcW w:w="665" w:type="pct"/>
            <w:tcBorders>
              <w:top w:val="nil"/>
            </w:tcBorders>
            <w:vAlign w:val="center"/>
          </w:tcPr>
          <w:p w:rsidR="00746461" w:rsidRPr="00746461" w:rsidRDefault="00746461" w:rsidP="00746461">
            <w:r w:rsidRPr="00746461">
              <w:t>21,394,066</w:t>
            </w:r>
          </w:p>
        </w:tc>
        <w:tc>
          <w:tcPr>
            <w:tcW w:w="661" w:type="pct"/>
            <w:tcBorders>
              <w:top w:val="nil"/>
            </w:tcBorders>
            <w:vAlign w:val="center"/>
          </w:tcPr>
          <w:p w:rsidR="00746461" w:rsidRPr="00746461" w:rsidRDefault="00746461" w:rsidP="00746461">
            <w:pPr>
              <w:rPr>
                <w:b/>
              </w:rPr>
            </w:pPr>
            <w:r w:rsidRPr="00746461">
              <w:rPr>
                <w:b/>
              </w:rPr>
              <w:t>-354,889</w:t>
            </w:r>
          </w:p>
        </w:tc>
        <w:tc>
          <w:tcPr>
            <w:tcW w:w="882" w:type="pct"/>
            <w:tcBorders>
              <w:top w:val="nil"/>
            </w:tcBorders>
            <w:vAlign w:val="center"/>
          </w:tcPr>
          <w:p w:rsidR="00746461" w:rsidRPr="00746461" w:rsidRDefault="00746461" w:rsidP="00746461">
            <w:r w:rsidRPr="00746461">
              <w:t>1,517,957,265,380</w:t>
            </w:r>
          </w:p>
        </w:tc>
        <w:tc>
          <w:tcPr>
            <w:tcW w:w="989" w:type="pct"/>
            <w:tcBorders>
              <w:top w:val="nil"/>
            </w:tcBorders>
            <w:vAlign w:val="center"/>
          </w:tcPr>
          <w:p w:rsidR="00746461" w:rsidRPr="00746461" w:rsidRDefault="00746461" w:rsidP="00746461">
            <w:r w:rsidRPr="00746461">
              <w:t>1,504,059,043,380</w:t>
            </w:r>
          </w:p>
        </w:tc>
        <w:tc>
          <w:tcPr>
            <w:tcW w:w="798" w:type="pct"/>
            <w:tcBorders>
              <w:top w:val="nil"/>
            </w:tcBorders>
            <w:vAlign w:val="center"/>
          </w:tcPr>
          <w:p w:rsidR="00746461" w:rsidRPr="00746461" w:rsidRDefault="00746461" w:rsidP="00746461">
            <w:pPr>
              <w:rPr>
                <w:b/>
              </w:rPr>
            </w:pPr>
            <w:r w:rsidRPr="00746461">
              <w:rPr>
                <w:b/>
              </w:rPr>
              <w:t>13,898,222,000</w:t>
            </w:r>
          </w:p>
        </w:tc>
      </w:tr>
      <w:tr w:rsidR="00746461" w:rsidRPr="00746461" w:rsidTr="00392C84">
        <w:tc>
          <w:tcPr>
            <w:tcW w:w="341" w:type="pct"/>
            <w:tcBorders>
              <w:top w:val="nil"/>
            </w:tcBorders>
            <w:vAlign w:val="center"/>
          </w:tcPr>
          <w:p w:rsidR="00746461" w:rsidRPr="00746461" w:rsidRDefault="00746461" w:rsidP="00746461">
            <w:r w:rsidRPr="00746461">
              <w:t>합계</w:t>
            </w:r>
          </w:p>
        </w:tc>
        <w:tc>
          <w:tcPr>
            <w:tcW w:w="665" w:type="pct"/>
            <w:tcBorders>
              <w:top w:val="nil"/>
            </w:tcBorders>
            <w:vAlign w:val="center"/>
          </w:tcPr>
          <w:p w:rsidR="00746461" w:rsidRPr="00746461" w:rsidRDefault="00746461" w:rsidP="00746461">
            <w:r w:rsidRPr="00746461">
              <w:t>162,561,066</w:t>
            </w:r>
          </w:p>
        </w:tc>
        <w:tc>
          <w:tcPr>
            <w:tcW w:w="665" w:type="pct"/>
            <w:tcBorders>
              <w:top w:val="nil"/>
            </w:tcBorders>
            <w:vAlign w:val="center"/>
          </w:tcPr>
          <w:p w:rsidR="00746461" w:rsidRPr="00746461" w:rsidRDefault="00746461" w:rsidP="00746461">
            <w:r w:rsidRPr="00746461">
              <w:t>165,861,937</w:t>
            </w:r>
          </w:p>
        </w:tc>
        <w:tc>
          <w:tcPr>
            <w:tcW w:w="661" w:type="pct"/>
            <w:tcBorders>
              <w:top w:val="nil"/>
            </w:tcBorders>
            <w:vAlign w:val="center"/>
          </w:tcPr>
          <w:p w:rsidR="00746461" w:rsidRPr="00746461" w:rsidRDefault="00746461" w:rsidP="00746461">
            <w:pPr>
              <w:rPr>
                <w:b/>
              </w:rPr>
            </w:pPr>
            <w:r w:rsidRPr="00746461">
              <w:rPr>
                <w:b/>
              </w:rPr>
              <w:t>-3,300,871</w:t>
            </w:r>
          </w:p>
        </w:tc>
        <w:tc>
          <w:tcPr>
            <w:tcW w:w="882" w:type="pct"/>
            <w:tcBorders>
              <w:top w:val="nil"/>
            </w:tcBorders>
            <w:vAlign w:val="center"/>
          </w:tcPr>
          <w:p w:rsidR="00746461" w:rsidRPr="00746461" w:rsidRDefault="00746461" w:rsidP="00746461">
            <w:r w:rsidRPr="00746461">
              <w:t>9,175,181,752,576</w:t>
            </w:r>
          </w:p>
        </w:tc>
        <w:tc>
          <w:tcPr>
            <w:tcW w:w="989" w:type="pct"/>
            <w:tcBorders>
              <w:top w:val="nil"/>
            </w:tcBorders>
            <w:vAlign w:val="center"/>
          </w:tcPr>
          <w:p w:rsidR="00746461" w:rsidRPr="00746461" w:rsidRDefault="00746461" w:rsidP="00746461">
            <w:r w:rsidRPr="00746461">
              <w:t>9,142,072,757,683</w:t>
            </w:r>
          </w:p>
        </w:tc>
        <w:tc>
          <w:tcPr>
            <w:tcW w:w="798" w:type="pct"/>
            <w:tcBorders>
              <w:top w:val="nil"/>
            </w:tcBorders>
            <w:vAlign w:val="center"/>
          </w:tcPr>
          <w:p w:rsidR="00746461" w:rsidRPr="00746461" w:rsidRDefault="00746461" w:rsidP="00746461">
            <w:pPr>
              <w:rPr>
                <w:b/>
              </w:rPr>
            </w:pPr>
            <w:r w:rsidRPr="00746461">
              <w:rPr>
                <w:b/>
              </w:rPr>
              <w:t>33,108,994,893</w:t>
            </w:r>
          </w:p>
        </w:tc>
      </w:tr>
    </w:tbl>
    <w:p w:rsidR="00746461" w:rsidRPr="00392C84" w:rsidRDefault="00746461" w:rsidP="00746461">
      <w:pPr>
        <w:rPr>
          <w:b/>
          <w:sz w:val="10"/>
        </w:rPr>
      </w:pPr>
    </w:p>
    <w:p w:rsidR="00746461" w:rsidRPr="00746461" w:rsidRDefault="00746461" w:rsidP="00746461">
      <w:pPr>
        <w:rPr>
          <w:b/>
        </w:rPr>
      </w:pPr>
      <w:r w:rsidRPr="00746461">
        <w:rPr>
          <w:b/>
        </w:rPr>
        <w:t>Panel C. 투자회사의 옵션 거래량과 거래강도 추세</w:t>
      </w:r>
    </w:p>
    <w:tbl>
      <w:tblPr>
        <w:tblStyle w:val="ac"/>
        <w:tblW w:w="5000" w:type="pct"/>
        <w:tblBorders>
          <w:left w:val="none" w:sz="0" w:space="0" w:color="auto"/>
          <w:right w:val="none" w:sz="0" w:space="0" w:color="auto"/>
          <w:insideV w:val="none" w:sz="0" w:space="0" w:color="auto"/>
        </w:tblBorders>
        <w:tblLook w:val="04A0"/>
      </w:tblPr>
      <w:tblGrid>
        <w:gridCol w:w="950"/>
        <w:gridCol w:w="1850"/>
        <w:gridCol w:w="1850"/>
        <w:gridCol w:w="1839"/>
        <w:gridCol w:w="2454"/>
        <w:gridCol w:w="2752"/>
        <w:gridCol w:w="2218"/>
      </w:tblGrid>
      <w:tr w:rsidR="00746461" w:rsidRPr="00746461" w:rsidTr="00392C84">
        <w:tc>
          <w:tcPr>
            <w:tcW w:w="341" w:type="pct"/>
            <w:tcBorders>
              <w:bottom w:val="single" w:sz="4" w:space="0" w:color="auto"/>
            </w:tcBorders>
            <w:vAlign w:val="center"/>
          </w:tcPr>
          <w:p w:rsidR="00746461" w:rsidRPr="00746461" w:rsidRDefault="00746461" w:rsidP="00746461">
            <w:r w:rsidRPr="00746461">
              <w:t>연도</w:t>
            </w:r>
          </w:p>
        </w:tc>
        <w:tc>
          <w:tcPr>
            <w:tcW w:w="665" w:type="pct"/>
            <w:tcBorders>
              <w:bottom w:val="single" w:sz="4" w:space="0" w:color="auto"/>
            </w:tcBorders>
            <w:vAlign w:val="center"/>
          </w:tcPr>
          <w:p w:rsidR="00746461" w:rsidRPr="00746461" w:rsidRDefault="00746461" w:rsidP="00746461">
            <w:proofErr w:type="spellStart"/>
            <w:r w:rsidRPr="00746461">
              <w:t>매수량</w:t>
            </w:r>
            <w:proofErr w:type="spellEnd"/>
            <w:r w:rsidRPr="00746461">
              <w:t>(개)</w:t>
            </w:r>
          </w:p>
        </w:tc>
        <w:tc>
          <w:tcPr>
            <w:tcW w:w="665" w:type="pct"/>
            <w:tcBorders>
              <w:bottom w:val="single" w:sz="4" w:space="0" w:color="auto"/>
            </w:tcBorders>
          </w:tcPr>
          <w:p w:rsidR="00746461" w:rsidRPr="00746461" w:rsidRDefault="00746461" w:rsidP="00746461">
            <w:proofErr w:type="spellStart"/>
            <w:r w:rsidRPr="00746461">
              <w:t>매도량</w:t>
            </w:r>
            <w:proofErr w:type="spellEnd"/>
            <w:r w:rsidRPr="00746461">
              <w:t>(개)</w:t>
            </w:r>
          </w:p>
        </w:tc>
        <w:tc>
          <w:tcPr>
            <w:tcW w:w="661" w:type="pct"/>
            <w:tcBorders>
              <w:bottom w:val="single" w:sz="4" w:space="0" w:color="auto"/>
            </w:tcBorders>
          </w:tcPr>
          <w:p w:rsidR="00746461" w:rsidRPr="00746461" w:rsidRDefault="00746461" w:rsidP="00746461">
            <w:pPr>
              <w:rPr>
                <w:b/>
              </w:rPr>
            </w:pPr>
            <w:r w:rsidRPr="00746461">
              <w:rPr>
                <w:b/>
              </w:rPr>
              <w:t>매수-매도(개)</w:t>
            </w:r>
          </w:p>
        </w:tc>
        <w:tc>
          <w:tcPr>
            <w:tcW w:w="882" w:type="pct"/>
            <w:tcBorders>
              <w:bottom w:val="single" w:sz="4" w:space="0" w:color="auto"/>
            </w:tcBorders>
          </w:tcPr>
          <w:p w:rsidR="00746461" w:rsidRPr="00746461" w:rsidRDefault="00746461" w:rsidP="00746461">
            <w:r w:rsidRPr="00746461">
              <w:t>매수대금(원)</w:t>
            </w:r>
          </w:p>
        </w:tc>
        <w:tc>
          <w:tcPr>
            <w:tcW w:w="989" w:type="pct"/>
            <w:tcBorders>
              <w:bottom w:val="single" w:sz="4" w:space="0" w:color="auto"/>
            </w:tcBorders>
          </w:tcPr>
          <w:p w:rsidR="00746461" w:rsidRPr="00746461" w:rsidRDefault="00746461" w:rsidP="00746461">
            <w:r w:rsidRPr="00746461">
              <w:t>매도대금(원)</w:t>
            </w:r>
          </w:p>
        </w:tc>
        <w:tc>
          <w:tcPr>
            <w:tcW w:w="798" w:type="pct"/>
            <w:tcBorders>
              <w:bottom w:val="single" w:sz="4" w:space="0" w:color="auto"/>
            </w:tcBorders>
          </w:tcPr>
          <w:p w:rsidR="00746461" w:rsidRPr="00746461" w:rsidRDefault="00746461" w:rsidP="00746461">
            <w:pPr>
              <w:rPr>
                <w:b/>
              </w:rPr>
            </w:pPr>
            <w:r w:rsidRPr="00746461">
              <w:rPr>
                <w:b/>
              </w:rPr>
              <w:t>매수-매도(원)</w:t>
            </w:r>
          </w:p>
        </w:tc>
      </w:tr>
      <w:tr w:rsidR="00746461" w:rsidRPr="00746461" w:rsidTr="00392C84">
        <w:tc>
          <w:tcPr>
            <w:tcW w:w="341" w:type="pct"/>
            <w:tcBorders>
              <w:bottom w:val="nil"/>
            </w:tcBorders>
            <w:vAlign w:val="center"/>
          </w:tcPr>
          <w:p w:rsidR="00746461" w:rsidRPr="00746461" w:rsidRDefault="00746461" w:rsidP="00746461">
            <w:r w:rsidRPr="00746461">
              <w:t>2004</w:t>
            </w:r>
          </w:p>
        </w:tc>
        <w:tc>
          <w:tcPr>
            <w:tcW w:w="665" w:type="pct"/>
            <w:tcBorders>
              <w:bottom w:val="nil"/>
            </w:tcBorders>
            <w:vAlign w:val="center"/>
          </w:tcPr>
          <w:p w:rsidR="00746461" w:rsidRPr="00746461" w:rsidRDefault="00746461" w:rsidP="00746461">
            <w:r w:rsidRPr="00746461">
              <w:t>354,440</w:t>
            </w:r>
          </w:p>
        </w:tc>
        <w:tc>
          <w:tcPr>
            <w:tcW w:w="665" w:type="pct"/>
            <w:tcBorders>
              <w:bottom w:val="nil"/>
            </w:tcBorders>
            <w:vAlign w:val="center"/>
          </w:tcPr>
          <w:p w:rsidR="00746461" w:rsidRPr="00746461" w:rsidRDefault="00746461" w:rsidP="00746461">
            <w:r w:rsidRPr="00746461">
              <w:t>460,188</w:t>
            </w:r>
          </w:p>
        </w:tc>
        <w:tc>
          <w:tcPr>
            <w:tcW w:w="661" w:type="pct"/>
            <w:tcBorders>
              <w:bottom w:val="nil"/>
            </w:tcBorders>
            <w:vAlign w:val="center"/>
          </w:tcPr>
          <w:p w:rsidR="00746461" w:rsidRPr="00746461" w:rsidRDefault="00746461" w:rsidP="00746461">
            <w:pPr>
              <w:rPr>
                <w:b/>
              </w:rPr>
            </w:pPr>
            <w:r w:rsidRPr="00746461">
              <w:rPr>
                <w:b/>
              </w:rPr>
              <w:t>-105,749</w:t>
            </w:r>
          </w:p>
        </w:tc>
        <w:tc>
          <w:tcPr>
            <w:tcW w:w="882" w:type="pct"/>
            <w:tcBorders>
              <w:bottom w:val="nil"/>
            </w:tcBorders>
            <w:vAlign w:val="center"/>
          </w:tcPr>
          <w:p w:rsidR="00746461" w:rsidRPr="00746461" w:rsidRDefault="00746461" w:rsidP="00746461">
            <w:r w:rsidRPr="00746461">
              <w:t>17,494,479,898</w:t>
            </w:r>
          </w:p>
        </w:tc>
        <w:tc>
          <w:tcPr>
            <w:tcW w:w="989" w:type="pct"/>
            <w:tcBorders>
              <w:bottom w:val="nil"/>
            </w:tcBorders>
            <w:vAlign w:val="center"/>
          </w:tcPr>
          <w:p w:rsidR="00746461" w:rsidRPr="00746461" w:rsidRDefault="00746461" w:rsidP="00746461">
            <w:r w:rsidRPr="00746461">
              <w:t>18,014,379,816</w:t>
            </w:r>
          </w:p>
        </w:tc>
        <w:tc>
          <w:tcPr>
            <w:tcW w:w="798" w:type="pct"/>
            <w:tcBorders>
              <w:bottom w:val="nil"/>
            </w:tcBorders>
            <w:vAlign w:val="center"/>
          </w:tcPr>
          <w:p w:rsidR="00746461" w:rsidRPr="00746461" w:rsidRDefault="00746461" w:rsidP="00746461">
            <w:pPr>
              <w:rPr>
                <w:b/>
              </w:rPr>
            </w:pPr>
            <w:r w:rsidRPr="00746461">
              <w:rPr>
                <w:b/>
              </w:rPr>
              <w:t>-519,899,918</w:t>
            </w:r>
          </w:p>
        </w:tc>
      </w:tr>
      <w:tr w:rsidR="00746461" w:rsidRPr="00746461" w:rsidTr="00392C84">
        <w:tc>
          <w:tcPr>
            <w:tcW w:w="341" w:type="pct"/>
            <w:tcBorders>
              <w:top w:val="nil"/>
              <w:bottom w:val="nil"/>
            </w:tcBorders>
            <w:vAlign w:val="center"/>
          </w:tcPr>
          <w:p w:rsidR="00746461" w:rsidRPr="00746461" w:rsidRDefault="00746461" w:rsidP="00746461">
            <w:r w:rsidRPr="00746461">
              <w:t>2005</w:t>
            </w:r>
          </w:p>
        </w:tc>
        <w:tc>
          <w:tcPr>
            <w:tcW w:w="665" w:type="pct"/>
            <w:tcBorders>
              <w:top w:val="nil"/>
              <w:bottom w:val="nil"/>
            </w:tcBorders>
            <w:vAlign w:val="center"/>
          </w:tcPr>
          <w:p w:rsidR="00746461" w:rsidRPr="00746461" w:rsidRDefault="00746461" w:rsidP="00746461">
            <w:r w:rsidRPr="00746461">
              <w:t>686,517</w:t>
            </w:r>
          </w:p>
        </w:tc>
        <w:tc>
          <w:tcPr>
            <w:tcW w:w="665" w:type="pct"/>
            <w:tcBorders>
              <w:top w:val="nil"/>
              <w:bottom w:val="nil"/>
            </w:tcBorders>
            <w:vAlign w:val="center"/>
          </w:tcPr>
          <w:p w:rsidR="00746461" w:rsidRPr="00746461" w:rsidRDefault="00746461" w:rsidP="00746461">
            <w:r w:rsidRPr="00746461">
              <w:t>740,270</w:t>
            </w:r>
          </w:p>
        </w:tc>
        <w:tc>
          <w:tcPr>
            <w:tcW w:w="661" w:type="pct"/>
            <w:tcBorders>
              <w:top w:val="nil"/>
              <w:bottom w:val="nil"/>
            </w:tcBorders>
            <w:vAlign w:val="center"/>
          </w:tcPr>
          <w:p w:rsidR="00746461" w:rsidRPr="00746461" w:rsidRDefault="00746461" w:rsidP="00746461">
            <w:pPr>
              <w:rPr>
                <w:b/>
              </w:rPr>
            </w:pPr>
            <w:r w:rsidRPr="00746461">
              <w:rPr>
                <w:b/>
              </w:rPr>
              <w:t>-53,753</w:t>
            </w:r>
          </w:p>
        </w:tc>
        <w:tc>
          <w:tcPr>
            <w:tcW w:w="882" w:type="pct"/>
            <w:tcBorders>
              <w:top w:val="nil"/>
              <w:bottom w:val="nil"/>
            </w:tcBorders>
            <w:vAlign w:val="center"/>
          </w:tcPr>
          <w:p w:rsidR="00746461" w:rsidRPr="00746461" w:rsidRDefault="00746461" w:rsidP="00746461">
            <w:r w:rsidRPr="00746461">
              <w:t>28,491,179,420</w:t>
            </w:r>
          </w:p>
        </w:tc>
        <w:tc>
          <w:tcPr>
            <w:tcW w:w="989" w:type="pct"/>
            <w:tcBorders>
              <w:top w:val="nil"/>
              <w:bottom w:val="nil"/>
            </w:tcBorders>
            <w:vAlign w:val="center"/>
          </w:tcPr>
          <w:p w:rsidR="00746461" w:rsidRPr="00746461" w:rsidRDefault="00746461" w:rsidP="00746461">
            <w:r w:rsidRPr="00746461">
              <w:t>28,939,382,180</w:t>
            </w:r>
          </w:p>
        </w:tc>
        <w:tc>
          <w:tcPr>
            <w:tcW w:w="798" w:type="pct"/>
            <w:tcBorders>
              <w:top w:val="nil"/>
              <w:bottom w:val="nil"/>
            </w:tcBorders>
            <w:vAlign w:val="center"/>
          </w:tcPr>
          <w:p w:rsidR="00746461" w:rsidRPr="00746461" w:rsidRDefault="00746461" w:rsidP="00746461">
            <w:pPr>
              <w:rPr>
                <w:b/>
              </w:rPr>
            </w:pPr>
            <w:r w:rsidRPr="00746461">
              <w:rPr>
                <w:b/>
              </w:rPr>
              <w:t>-448,202,760</w:t>
            </w:r>
          </w:p>
        </w:tc>
      </w:tr>
      <w:tr w:rsidR="00746461" w:rsidRPr="00746461" w:rsidTr="00392C84">
        <w:tc>
          <w:tcPr>
            <w:tcW w:w="341" w:type="pct"/>
            <w:tcBorders>
              <w:top w:val="nil"/>
              <w:bottom w:val="nil"/>
            </w:tcBorders>
            <w:vAlign w:val="center"/>
          </w:tcPr>
          <w:p w:rsidR="00746461" w:rsidRPr="00746461" w:rsidRDefault="00746461" w:rsidP="00746461">
            <w:r w:rsidRPr="00746461">
              <w:t>2006</w:t>
            </w:r>
          </w:p>
        </w:tc>
        <w:tc>
          <w:tcPr>
            <w:tcW w:w="665" w:type="pct"/>
            <w:tcBorders>
              <w:top w:val="nil"/>
              <w:bottom w:val="nil"/>
            </w:tcBorders>
            <w:vAlign w:val="center"/>
          </w:tcPr>
          <w:p w:rsidR="00746461" w:rsidRPr="00746461" w:rsidRDefault="00746461" w:rsidP="00746461">
            <w:r w:rsidRPr="00746461">
              <w:t>719,682</w:t>
            </w:r>
          </w:p>
        </w:tc>
        <w:tc>
          <w:tcPr>
            <w:tcW w:w="665" w:type="pct"/>
            <w:tcBorders>
              <w:top w:val="nil"/>
              <w:bottom w:val="nil"/>
            </w:tcBorders>
            <w:vAlign w:val="center"/>
          </w:tcPr>
          <w:p w:rsidR="00746461" w:rsidRPr="00746461" w:rsidRDefault="00746461" w:rsidP="00746461">
            <w:r w:rsidRPr="00746461">
              <w:t>752,888</w:t>
            </w:r>
          </w:p>
        </w:tc>
        <w:tc>
          <w:tcPr>
            <w:tcW w:w="661" w:type="pct"/>
            <w:tcBorders>
              <w:top w:val="nil"/>
              <w:bottom w:val="nil"/>
            </w:tcBorders>
            <w:vAlign w:val="center"/>
          </w:tcPr>
          <w:p w:rsidR="00746461" w:rsidRPr="00746461" w:rsidRDefault="00746461" w:rsidP="00746461">
            <w:pPr>
              <w:rPr>
                <w:b/>
              </w:rPr>
            </w:pPr>
            <w:r w:rsidRPr="00746461">
              <w:rPr>
                <w:b/>
              </w:rPr>
              <w:t>-33,206</w:t>
            </w:r>
          </w:p>
        </w:tc>
        <w:tc>
          <w:tcPr>
            <w:tcW w:w="882" w:type="pct"/>
            <w:tcBorders>
              <w:top w:val="nil"/>
              <w:bottom w:val="nil"/>
            </w:tcBorders>
            <w:vAlign w:val="center"/>
          </w:tcPr>
          <w:p w:rsidR="00746461" w:rsidRPr="00746461" w:rsidRDefault="00746461" w:rsidP="00746461">
            <w:r w:rsidRPr="00746461">
              <w:t>41,345,078,700</w:t>
            </w:r>
          </w:p>
        </w:tc>
        <w:tc>
          <w:tcPr>
            <w:tcW w:w="989" w:type="pct"/>
            <w:tcBorders>
              <w:top w:val="nil"/>
              <w:bottom w:val="nil"/>
            </w:tcBorders>
            <w:vAlign w:val="center"/>
          </w:tcPr>
          <w:p w:rsidR="00746461" w:rsidRPr="00746461" w:rsidRDefault="00746461" w:rsidP="00746461">
            <w:r w:rsidRPr="00746461">
              <w:t>41,481,864,660</w:t>
            </w:r>
          </w:p>
        </w:tc>
        <w:tc>
          <w:tcPr>
            <w:tcW w:w="798" w:type="pct"/>
            <w:tcBorders>
              <w:top w:val="nil"/>
              <w:bottom w:val="nil"/>
            </w:tcBorders>
            <w:vAlign w:val="center"/>
          </w:tcPr>
          <w:p w:rsidR="00746461" w:rsidRPr="00746461" w:rsidRDefault="00746461" w:rsidP="00746461">
            <w:pPr>
              <w:rPr>
                <w:b/>
              </w:rPr>
            </w:pPr>
            <w:r w:rsidRPr="00746461">
              <w:rPr>
                <w:b/>
              </w:rPr>
              <w:t>-136,785,960</w:t>
            </w:r>
          </w:p>
        </w:tc>
      </w:tr>
      <w:tr w:rsidR="00746461" w:rsidRPr="00746461" w:rsidTr="00392C84">
        <w:tc>
          <w:tcPr>
            <w:tcW w:w="341" w:type="pct"/>
            <w:tcBorders>
              <w:top w:val="nil"/>
              <w:bottom w:val="nil"/>
            </w:tcBorders>
            <w:vAlign w:val="center"/>
          </w:tcPr>
          <w:p w:rsidR="00746461" w:rsidRPr="00746461" w:rsidRDefault="00746461" w:rsidP="00746461">
            <w:r w:rsidRPr="00746461">
              <w:t>2007</w:t>
            </w:r>
          </w:p>
        </w:tc>
        <w:tc>
          <w:tcPr>
            <w:tcW w:w="665" w:type="pct"/>
            <w:tcBorders>
              <w:top w:val="nil"/>
              <w:bottom w:val="nil"/>
            </w:tcBorders>
            <w:vAlign w:val="center"/>
          </w:tcPr>
          <w:p w:rsidR="00746461" w:rsidRPr="00746461" w:rsidRDefault="00746461" w:rsidP="00746461">
            <w:r w:rsidRPr="00746461">
              <w:t>275,399</w:t>
            </w:r>
          </w:p>
        </w:tc>
        <w:tc>
          <w:tcPr>
            <w:tcW w:w="665" w:type="pct"/>
            <w:tcBorders>
              <w:top w:val="nil"/>
              <w:bottom w:val="nil"/>
            </w:tcBorders>
            <w:vAlign w:val="center"/>
          </w:tcPr>
          <w:p w:rsidR="00746461" w:rsidRPr="00746461" w:rsidRDefault="00746461" w:rsidP="00746461">
            <w:r w:rsidRPr="00746461">
              <w:t>296,363</w:t>
            </w:r>
          </w:p>
        </w:tc>
        <w:tc>
          <w:tcPr>
            <w:tcW w:w="661" w:type="pct"/>
            <w:tcBorders>
              <w:top w:val="nil"/>
              <w:bottom w:val="nil"/>
            </w:tcBorders>
            <w:vAlign w:val="center"/>
          </w:tcPr>
          <w:p w:rsidR="00746461" w:rsidRPr="00746461" w:rsidRDefault="00746461" w:rsidP="00746461">
            <w:pPr>
              <w:rPr>
                <w:b/>
              </w:rPr>
            </w:pPr>
            <w:r w:rsidRPr="00746461">
              <w:rPr>
                <w:b/>
              </w:rPr>
              <w:t>-20,965</w:t>
            </w:r>
          </w:p>
        </w:tc>
        <w:tc>
          <w:tcPr>
            <w:tcW w:w="882" w:type="pct"/>
            <w:tcBorders>
              <w:top w:val="nil"/>
              <w:bottom w:val="nil"/>
            </w:tcBorders>
            <w:vAlign w:val="center"/>
          </w:tcPr>
          <w:p w:rsidR="00746461" w:rsidRPr="00746461" w:rsidRDefault="00746461" w:rsidP="00746461">
            <w:r w:rsidRPr="00746461">
              <w:t>20,791,524,796</w:t>
            </w:r>
          </w:p>
        </w:tc>
        <w:tc>
          <w:tcPr>
            <w:tcW w:w="989" w:type="pct"/>
            <w:tcBorders>
              <w:top w:val="nil"/>
              <w:bottom w:val="nil"/>
            </w:tcBorders>
            <w:vAlign w:val="center"/>
          </w:tcPr>
          <w:p w:rsidR="00746461" w:rsidRPr="00746461" w:rsidRDefault="00746461" w:rsidP="00746461">
            <w:r w:rsidRPr="00746461">
              <w:t>21,075,092,449</w:t>
            </w:r>
          </w:p>
        </w:tc>
        <w:tc>
          <w:tcPr>
            <w:tcW w:w="798" w:type="pct"/>
            <w:tcBorders>
              <w:top w:val="nil"/>
              <w:bottom w:val="nil"/>
            </w:tcBorders>
            <w:vAlign w:val="center"/>
          </w:tcPr>
          <w:p w:rsidR="00746461" w:rsidRPr="00746461" w:rsidRDefault="00746461" w:rsidP="00746461">
            <w:pPr>
              <w:rPr>
                <w:b/>
              </w:rPr>
            </w:pPr>
            <w:r w:rsidRPr="00746461">
              <w:rPr>
                <w:b/>
              </w:rPr>
              <w:t>-283,567,653</w:t>
            </w:r>
          </w:p>
        </w:tc>
      </w:tr>
      <w:tr w:rsidR="00746461" w:rsidRPr="00746461" w:rsidTr="00392C84">
        <w:tc>
          <w:tcPr>
            <w:tcW w:w="341" w:type="pct"/>
            <w:tcBorders>
              <w:top w:val="nil"/>
              <w:bottom w:val="nil"/>
            </w:tcBorders>
            <w:vAlign w:val="center"/>
          </w:tcPr>
          <w:p w:rsidR="00746461" w:rsidRPr="00746461" w:rsidRDefault="00746461" w:rsidP="00746461">
            <w:r w:rsidRPr="00746461">
              <w:t>2008</w:t>
            </w:r>
          </w:p>
        </w:tc>
        <w:tc>
          <w:tcPr>
            <w:tcW w:w="665" w:type="pct"/>
            <w:tcBorders>
              <w:top w:val="nil"/>
              <w:bottom w:val="nil"/>
            </w:tcBorders>
            <w:vAlign w:val="center"/>
          </w:tcPr>
          <w:p w:rsidR="00746461" w:rsidRPr="00746461" w:rsidRDefault="00746461" w:rsidP="00746461">
            <w:r w:rsidRPr="00746461">
              <w:t>151,344</w:t>
            </w:r>
          </w:p>
        </w:tc>
        <w:tc>
          <w:tcPr>
            <w:tcW w:w="665" w:type="pct"/>
            <w:tcBorders>
              <w:top w:val="nil"/>
              <w:bottom w:val="nil"/>
            </w:tcBorders>
            <w:vAlign w:val="center"/>
          </w:tcPr>
          <w:p w:rsidR="00746461" w:rsidRPr="00746461" w:rsidRDefault="00746461" w:rsidP="00746461">
            <w:r w:rsidRPr="00746461">
              <w:t>162,938</w:t>
            </w:r>
          </w:p>
        </w:tc>
        <w:tc>
          <w:tcPr>
            <w:tcW w:w="661" w:type="pct"/>
            <w:tcBorders>
              <w:top w:val="nil"/>
              <w:bottom w:val="nil"/>
            </w:tcBorders>
            <w:vAlign w:val="center"/>
          </w:tcPr>
          <w:p w:rsidR="00746461" w:rsidRPr="00746461" w:rsidRDefault="00746461" w:rsidP="00746461">
            <w:pPr>
              <w:rPr>
                <w:b/>
              </w:rPr>
            </w:pPr>
            <w:r w:rsidRPr="00746461">
              <w:rPr>
                <w:b/>
              </w:rPr>
              <w:t>-11,593</w:t>
            </w:r>
          </w:p>
        </w:tc>
        <w:tc>
          <w:tcPr>
            <w:tcW w:w="882" w:type="pct"/>
            <w:tcBorders>
              <w:top w:val="nil"/>
              <w:bottom w:val="nil"/>
            </w:tcBorders>
            <w:vAlign w:val="center"/>
          </w:tcPr>
          <w:p w:rsidR="00746461" w:rsidRPr="00746461" w:rsidRDefault="00746461" w:rsidP="00746461">
            <w:r w:rsidRPr="00746461">
              <w:t>17,609,861,959</w:t>
            </w:r>
          </w:p>
        </w:tc>
        <w:tc>
          <w:tcPr>
            <w:tcW w:w="989" w:type="pct"/>
            <w:tcBorders>
              <w:top w:val="nil"/>
              <w:bottom w:val="nil"/>
            </w:tcBorders>
            <w:vAlign w:val="center"/>
          </w:tcPr>
          <w:p w:rsidR="00746461" w:rsidRPr="00746461" w:rsidRDefault="00746461" w:rsidP="00746461">
            <w:r w:rsidRPr="00746461">
              <w:t>17,109,970,612</w:t>
            </w:r>
          </w:p>
        </w:tc>
        <w:tc>
          <w:tcPr>
            <w:tcW w:w="798" w:type="pct"/>
            <w:tcBorders>
              <w:top w:val="nil"/>
              <w:bottom w:val="nil"/>
            </w:tcBorders>
            <w:vAlign w:val="center"/>
          </w:tcPr>
          <w:p w:rsidR="00746461" w:rsidRPr="00746461" w:rsidRDefault="00746461" w:rsidP="00746461">
            <w:pPr>
              <w:rPr>
                <w:b/>
              </w:rPr>
            </w:pPr>
            <w:r w:rsidRPr="00746461">
              <w:rPr>
                <w:b/>
              </w:rPr>
              <w:t>499,891,347</w:t>
            </w:r>
          </w:p>
        </w:tc>
      </w:tr>
      <w:tr w:rsidR="00746461" w:rsidRPr="00746461" w:rsidTr="00392C84">
        <w:tc>
          <w:tcPr>
            <w:tcW w:w="341" w:type="pct"/>
            <w:tcBorders>
              <w:top w:val="nil"/>
              <w:bottom w:val="nil"/>
            </w:tcBorders>
            <w:vAlign w:val="center"/>
          </w:tcPr>
          <w:p w:rsidR="00746461" w:rsidRPr="00746461" w:rsidRDefault="00746461" w:rsidP="00746461">
            <w:r w:rsidRPr="00746461">
              <w:t>2009</w:t>
            </w:r>
          </w:p>
        </w:tc>
        <w:tc>
          <w:tcPr>
            <w:tcW w:w="665" w:type="pct"/>
            <w:tcBorders>
              <w:top w:val="nil"/>
              <w:bottom w:val="nil"/>
            </w:tcBorders>
            <w:vAlign w:val="center"/>
          </w:tcPr>
          <w:p w:rsidR="00746461" w:rsidRPr="00746461" w:rsidRDefault="00746461" w:rsidP="00746461">
            <w:r w:rsidRPr="00746461">
              <w:t>270,372</w:t>
            </w:r>
          </w:p>
        </w:tc>
        <w:tc>
          <w:tcPr>
            <w:tcW w:w="665" w:type="pct"/>
            <w:tcBorders>
              <w:top w:val="nil"/>
              <w:bottom w:val="nil"/>
            </w:tcBorders>
            <w:vAlign w:val="center"/>
          </w:tcPr>
          <w:p w:rsidR="00746461" w:rsidRPr="00746461" w:rsidRDefault="00746461" w:rsidP="00746461">
            <w:r w:rsidRPr="00746461">
              <w:t>282,758</w:t>
            </w:r>
          </w:p>
        </w:tc>
        <w:tc>
          <w:tcPr>
            <w:tcW w:w="661" w:type="pct"/>
            <w:tcBorders>
              <w:top w:val="nil"/>
              <w:bottom w:val="nil"/>
            </w:tcBorders>
            <w:vAlign w:val="center"/>
          </w:tcPr>
          <w:p w:rsidR="00746461" w:rsidRPr="00746461" w:rsidRDefault="00746461" w:rsidP="00746461">
            <w:pPr>
              <w:rPr>
                <w:b/>
              </w:rPr>
            </w:pPr>
            <w:r w:rsidRPr="00746461">
              <w:rPr>
                <w:b/>
              </w:rPr>
              <w:t>-12,386</w:t>
            </w:r>
          </w:p>
        </w:tc>
        <w:tc>
          <w:tcPr>
            <w:tcW w:w="882" w:type="pct"/>
            <w:tcBorders>
              <w:top w:val="nil"/>
              <w:bottom w:val="nil"/>
            </w:tcBorders>
            <w:vAlign w:val="center"/>
          </w:tcPr>
          <w:p w:rsidR="00746461" w:rsidRPr="00746461" w:rsidRDefault="00746461" w:rsidP="00746461">
            <w:r w:rsidRPr="00746461">
              <w:t>18,742,730,196</w:t>
            </w:r>
          </w:p>
        </w:tc>
        <w:tc>
          <w:tcPr>
            <w:tcW w:w="989" w:type="pct"/>
            <w:tcBorders>
              <w:top w:val="nil"/>
              <w:bottom w:val="nil"/>
            </w:tcBorders>
            <w:vAlign w:val="center"/>
          </w:tcPr>
          <w:p w:rsidR="00746461" w:rsidRPr="00746461" w:rsidRDefault="00746461" w:rsidP="00746461">
            <w:r w:rsidRPr="00746461">
              <w:t>19,203,472,471</w:t>
            </w:r>
          </w:p>
        </w:tc>
        <w:tc>
          <w:tcPr>
            <w:tcW w:w="798" w:type="pct"/>
            <w:tcBorders>
              <w:top w:val="nil"/>
              <w:bottom w:val="nil"/>
            </w:tcBorders>
            <w:vAlign w:val="center"/>
          </w:tcPr>
          <w:p w:rsidR="00746461" w:rsidRPr="00746461" w:rsidRDefault="00746461" w:rsidP="00746461">
            <w:pPr>
              <w:rPr>
                <w:b/>
              </w:rPr>
            </w:pPr>
            <w:r w:rsidRPr="00746461">
              <w:rPr>
                <w:b/>
              </w:rPr>
              <w:t>-460,742,275</w:t>
            </w:r>
          </w:p>
        </w:tc>
      </w:tr>
      <w:tr w:rsidR="00746461" w:rsidRPr="00746461" w:rsidTr="00392C84">
        <w:tc>
          <w:tcPr>
            <w:tcW w:w="341" w:type="pct"/>
            <w:tcBorders>
              <w:top w:val="nil"/>
              <w:bottom w:val="nil"/>
            </w:tcBorders>
            <w:vAlign w:val="center"/>
          </w:tcPr>
          <w:p w:rsidR="00746461" w:rsidRPr="00746461" w:rsidRDefault="00746461" w:rsidP="00746461">
            <w:r w:rsidRPr="00746461">
              <w:t>2010</w:t>
            </w:r>
          </w:p>
        </w:tc>
        <w:tc>
          <w:tcPr>
            <w:tcW w:w="665" w:type="pct"/>
            <w:tcBorders>
              <w:top w:val="nil"/>
              <w:bottom w:val="nil"/>
            </w:tcBorders>
            <w:vAlign w:val="center"/>
          </w:tcPr>
          <w:p w:rsidR="00746461" w:rsidRPr="00746461" w:rsidRDefault="00746461" w:rsidP="00746461">
            <w:r w:rsidRPr="00746461">
              <w:t>611,839</w:t>
            </w:r>
          </w:p>
        </w:tc>
        <w:tc>
          <w:tcPr>
            <w:tcW w:w="665" w:type="pct"/>
            <w:tcBorders>
              <w:top w:val="nil"/>
              <w:bottom w:val="nil"/>
            </w:tcBorders>
            <w:vAlign w:val="center"/>
          </w:tcPr>
          <w:p w:rsidR="00746461" w:rsidRPr="00746461" w:rsidRDefault="00746461" w:rsidP="00746461">
            <w:r w:rsidRPr="00746461">
              <w:t>676,649</w:t>
            </w:r>
          </w:p>
        </w:tc>
        <w:tc>
          <w:tcPr>
            <w:tcW w:w="661" w:type="pct"/>
            <w:tcBorders>
              <w:top w:val="nil"/>
              <w:bottom w:val="nil"/>
            </w:tcBorders>
            <w:vAlign w:val="center"/>
          </w:tcPr>
          <w:p w:rsidR="00746461" w:rsidRPr="00746461" w:rsidRDefault="00746461" w:rsidP="00746461">
            <w:pPr>
              <w:rPr>
                <w:b/>
              </w:rPr>
            </w:pPr>
            <w:r w:rsidRPr="00746461">
              <w:rPr>
                <w:b/>
              </w:rPr>
              <w:t>-64,810</w:t>
            </w:r>
          </w:p>
        </w:tc>
        <w:tc>
          <w:tcPr>
            <w:tcW w:w="882" w:type="pct"/>
            <w:tcBorders>
              <w:top w:val="nil"/>
              <w:bottom w:val="nil"/>
            </w:tcBorders>
            <w:vAlign w:val="center"/>
          </w:tcPr>
          <w:p w:rsidR="00746461" w:rsidRPr="00746461" w:rsidRDefault="00746461" w:rsidP="00746461">
            <w:r w:rsidRPr="00746461">
              <w:t>30,489,376,400</w:t>
            </w:r>
          </w:p>
        </w:tc>
        <w:tc>
          <w:tcPr>
            <w:tcW w:w="989" w:type="pct"/>
            <w:tcBorders>
              <w:top w:val="nil"/>
              <w:bottom w:val="nil"/>
            </w:tcBorders>
            <w:vAlign w:val="center"/>
          </w:tcPr>
          <w:p w:rsidR="00746461" w:rsidRPr="00746461" w:rsidRDefault="00746461" w:rsidP="00746461">
            <w:r w:rsidRPr="00746461">
              <w:t>30,980,185,640</w:t>
            </w:r>
          </w:p>
        </w:tc>
        <w:tc>
          <w:tcPr>
            <w:tcW w:w="798" w:type="pct"/>
            <w:tcBorders>
              <w:top w:val="nil"/>
              <w:bottom w:val="nil"/>
            </w:tcBorders>
            <w:vAlign w:val="center"/>
          </w:tcPr>
          <w:p w:rsidR="00746461" w:rsidRPr="00746461" w:rsidRDefault="00746461" w:rsidP="00746461">
            <w:pPr>
              <w:rPr>
                <w:b/>
              </w:rPr>
            </w:pPr>
            <w:r w:rsidRPr="00746461">
              <w:rPr>
                <w:b/>
              </w:rPr>
              <w:t>-490,809,240</w:t>
            </w:r>
          </w:p>
        </w:tc>
      </w:tr>
      <w:tr w:rsidR="00746461" w:rsidRPr="00746461" w:rsidTr="00392C84">
        <w:tc>
          <w:tcPr>
            <w:tcW w:w="341" w:type="pct"/>
            <w:tcBorders>
              <w:top w:val="nil"/>
            </w:tcBorders>
            <w:vAlign w:val="center"/>
          </w:tcPr>
          <w:p w:rsidR="00746461" w:rsidRPr="00746461" w:rsidRDefault="00746461" w:rsidP="00746461">
            <w:r w:rsidRPr="00746461">
              <w:t>2011</w:t>
            </w:r>
          </w:p>
        </w:tc>
        <w:tc>
          <w:tcPr>
            <w:tcW w:w="665" w:type="pct"/>
            <w:tcBorders>
              <w:top w:val="nil"/>
            </w:tcBorders>
            <w:vAlign w:val="center"/>
          </w:tcPr>
          <w:p w:rsidR="00746461" w:rsidRPr="00746461" w:rsidRDefault="00746461" w:rsidP="00746461">
            <w:r w:rsidRPr="00746461">
              <w:t>92,218</w:t>
            </w:r>
          </w:p>
        </w:tc>
        <w:tc>
          <w:tcPr>
            <w:tcW w:w="665" w:type="pct"/>
            <w:tcBorders>
              <w:top w:val="nil"/>
            </w:tcBorders>
            <w:vAlign w:val="center"/>
          </w:tcPr>
          <w:p w:rsidR="00746461" w:rsidRPr="00746461" w:rsidRDefault="00746461" w:rsidP="00746461">
            <w:r w:rsidRPr="00746461">
              <w:t>94,199</w:t>
            </w:r>
          </w:p>
        </w:tc>
        <w:tc>
          <w:tcPr>
            <w:tcW w:w="661" w:type="pct"/>
            <w:tcBorders>
              <w:top w:val="nil"/>
            </w:tcBorders>
            <w:vAlign w:val="center"/>
          </w:tcPr>
          <w:p w:rsidR="00746461" w:rsidRPr="00746461" w:rsidRDefault="00746461" w:rsidP="00746461">
            <w:pPr>
              <w:rPr>
                <w:b/>
              </w:rPr>
            </w:pPr>
            <w:r w:rsidRPr="00746461">
              <w:rPr>
                <w:b/>
              </w:rPr>
              <w:t>-1,981</w:t>
            </w:r>
          </w:p>
        </w:tc>
        <w:tc>
          <w:tcPr>
            <w:tcW w:w="882" w:type="pct"/>
            <w:tcBorders>
              <w:top w:val="nil"/>
            </w:tcBorders>
            <w:vAlign w:val="center"/>
          </w:tcPr>
          <w:p w:rsidR="00746461" w:rsidRPr="00746461" w:rsidRDefault="00746461" w:rsidP="00746461">
            <w:r w:rsidRPr="00746461">
              <w:t>11,057,345,120</w:t>
            </w:r>
          </w:p>
        </w:tc>
        <w:tc>
          <w:tcPr>
            <w:tcW w:w="989" w:type="pct"/>
            <w:tcBorders>
              <w:top w:val="nil"/>
            </w:tcBorders>
            <w:vAlign w:val="center"/>
          </w:tcPr>
          <w:p w:rsidR="00746461" w:rsidRPr="00746461" w:rsidRDefault="00746461" w:rsidP="00746461">
            <w:r w:rsidRPr="00746461">
              <w:t>11,187,099,380</w:t>
            </w:r>
          </w:p>
        </w:tc>
        <w:tc>
          <w:tcPr>
            <w:tcW w:w="798" w:type="pct"/>
            <w:tcBorders>
              <w:top w:val="nil"/>
            </w:tcBorders>
            <w:vAlign w:val="center"/>
          </w:tcPr>
          <w:p w:rsidR="00746461" w:rsidRPr="00746461" w:rsidRDefault="00746461" w:rsidP="00746461">
            <w:pPr>
              <w:rPr>
                <w:b/>
              </w:rPr>
            </w:pPr>
            <w:r w:rsidRPr="00746461">
              <w:rPr>
                <w:b/>
              </w:rPr>
              <w:t>-129,754,260</w:t>
            </w:r>
          </w:p>
        </w:tc>
      </w:tr>
      <w:tr w:rsidR="00746461" w:rsidRPr="00746461" w:rsidTr="00392C84">
        <w:tc>
          <w:tcPr>
            <w:tcW w:w="341" w:type="pct"/>
            <w:tcBorders>
              <w:top w:val="nil"/>
            </w:tcBorders>
            <w:vAlign w:val="center"/>
          </w:tcPr>
          <w:p w:rsidR="00746461" w:rsidRPr="00746461" w:rsidRDefault="00746461" w:rsidP="00746461">
            <w:r w:rsidRPr="00746461">
              <w:t>합계</w:t>
            </w:r>
          </w:p>
        </w:tc>
        <w:tc>
          <w:tcPr>
            <w:tcW w:w="665" w:type="pct"/>
            <w:tcBorders>
              <w:top w:val="nil"/>
            </w:tcBorders>
            <w:vAlign w:val="center"/>
          </w:tcPr>
          <w:p w:rsidR="00746461" w:rsidRPr="00746461" w:rsidRDefault="00746461" w:rsidP="00746461">
            <w:r w:rsidRPr="00746461">
              <w:t>3,161,809</w:t>
            </w:r>
          </w:p>
        </w:tc>
        <w:tc>
          <w:tcPr>
            <w:tcW w:w="665" w:type="pct"/>
            <w:tcBorders>
              <w:top w:val="nil"/>
            </w:tcBorders>
            <w:vAlign w:val="center"/>
          </w:tcPr>
          <w:p w:rsidR="00746461" w:rsidRPr="00746461" w:rsidRDefault="00746461" w:rsidP="00746461">
            <w:r w:rsidRPr="00746461">
              <w:t>3,466,252</w:t>
            </w:r>
          </w:p>
        </w:tc>
        <w:tc>
          <w:tcPr>
            <w:tcW w:w="661" w:type="pct"/>
            <w:tcBorders>
              <w:top w:val="nil"/>
            </w:tcBorders>
            <w:vAlign w:val="center"/>
          </w:tcPr>
          <w:p w:rsidR="00746461" w:rsidRPr="00746461" w:rsidRDefault="00746461" w:rsidP="00746461">
            <w:pPr>
              <w:rPr>
                <w:b/>
              </w:rPr>
            </w:pPr>
            <w:r w:rsidRPr="00746461">
              <w:rPr>
                <w:b/>
              </w:rPr>
              <w:t>-304,443</w:t>
            </w:r>
          </w:p>
        </w:tc>
        <w:tc>
          <w:tcPr>
            <w:tcW w:w="882" w:type="pct"/>
            <w:tcBorders>
              <w:top w:val="nil"/>
            </w:tcBorders>
            <w:vAlign w:val="center"/>
          </w:tcPr>
          <w:p w:rsidR="00746461" w:rsidRPr="00746461" w:rsidRDefault="00746461" w:rsidP="00746461">
            <w:r w:rsidRPr="00746461">
              <w:t>186,021,576,489</w:t>
            </w:r>
          </w:p>
        </w:tc>
        <w:tc>
          <w:tcPr>
            <w:tcW w:w="989" w:type="pct"/>
            <w:tcBorders>
              <w:top w:val="nil"/>
            </w:tcBorders>
            <w:vAlign w:val="center"/>
          </w:tcPr>
          <w:p w:rsidR="00746461" w:rsidRPr="00746461" w:rsidRDefault="00746461" w:rsidP="00746461">
            <w:r w:rsidRPr="00746461">
              <w:t>187,991,447,208</w:t>
            </w:r>
          </w:p>
        </w:tc>
        <w:tc>
          <w:tcPr>
            <w:tcW w:w="798" w:type="pct"/>
            <w:tcBorders>
              <w:top w:val="nil"/>
            </w:tcBorders>
            <w:vAlign w:val="center"/>
          </w:tcPr>
          <w:p w:rsidR="00746461" w:rsidRPr="00746461" w:rsidRDefault="00746461" w:rsidP="00746461">
            <w:pPr>
              <w:rPr>
                <w:b/>
              </w:rPr>
            </w:pPr>
            <w:r w:rsidRPr="00746461">
              <w:rPr>
                <w:b/>
              </w:rPr>
              <w:t>-1,969,870,719</w:t>
            </w:r>
          </w:p>
        </w:tc>
      </w:tr>
    </w:tbl>
    <w:p w:rsidR="00746461" w:rsidRPr="00392C84" w:rsidRDefault="00746461" w:rsidP="00746461">
      <w:pPr>
        <w:rPr>
          <w:b/>
          <w:sz w:val="10"/>
        </w:rPr>
      </w:pPr>
    </w:p>
    <w:p w:rsidR="00746461" w:rsidRPr="00746461" w:rsidRDefault="00746461" w:rsidP="00746461">
      <w:r w:rsidRPr="00746461">
        <w:rPr>
          <w:b/>
        </w:rPr>
        <w:t>Panel D. 외국인</w:t>
      </w:r>
      <w:r w:rsidR="009E0AF3">
        <w:rPr>
          <w:rFonts w:hint="eastAsia"/>
        </w:rPr>
        <w:t>기관</w:t>
      </w:r>
      <w:r w:rsidRPr="00746461">
        <w:rPr>
          <w:b/>
        </w:rPr>
        <w:t>투자자의 옵션 거래량과 거래강도 추세</w:t>
      </w:r>
    </w:p>
    <w:tbl>
      <w:tblPr>
        <w:tblStyle w:val="ac"/>
        <w:tblW w:w="5000" w:type="pct"/>
        <w:tblBorders>
          <w:left w:val="none" w:sz="0" w:space="0" w:color="auto"/>
          <w:right w:val="none" w:sz="0" w:space="0" w:color="auto"/>
          <w:insideV w:val="none" w:sz="0" w:space="0" w:color="auto"/>
        </w:tblBorders>
        <w:tblLook w:val="04A0"/>
      </w:tblPr>
      <w:tblGrid>
        <w:gridCol w:w="950"/>
        <w:gridCol w:w="1850"/>
        <w:gridCol w:w="1850"/>
        <w:gridCol w:w="1697"/>
        <w:gridCol w:w="2596"/>
        <w:gridCol w:w="2752"/>
        <w:gridCol w:w="2218"/>
      </w:tblGrid>
      <w:tr w:rsidR="00746461" w:rsidRPr="00746461" w:rsidTr="00392C84">
        <w:tc>
          <w:tcPr>
            <w:tcW w:w="341" w:type="pct"/>
            <w:tcBorders>
              <w:bottom w:val="single" w:sz="4" w:space="0" w:color="auto"/>
            </w:tcBorders>
            <w:vAlign w:val="center"/>
          </w:tcPr>
          <w:p w:rsidR="00746461" w:rsidRPr="00746461" w:rsidRDefault="00746461" w:rsidP="00746461">
            <w:r w:rsidRPr="00746461">
              <w:t>연도</w:t>
            </w:r>
          </w:p>
        </w:tc>
        <w:tc>
          <w:tcPr>
            <w:tcW w:w="665" w:type="pct"/>
            <w:tcBorders>
              <w:bottom w:val="single" w:sz="4" w:space="0" w:color="auto"/>
            </w:tcBorders>
            <w:vAlign w:val="center"/>
          </w:tcPr>
          <w:p w:rsidR="00746461" w:rsidRPr="00746461" w:rsidRDefault="00746461" w:rsidP="00746461">
            <w:proofErr w:type="spellStart"/>
            <w:r w:rsidRPr="00746461">
              <w:t>매수량</w:t>
            </w:r>
            <w:proofErr w:type="spellEnd"/>
            <w:r w:rsidRPr="00746461">
              <w:t>(개)</w:t>
            </w:r>
          </w:p>
        </w:tc>
        <w:tc>
          <w:tcPr>
            <w:tcW w:w="665" w:type="pct"/>
            <w:tcBorders>
              <w:bottom w:val="single" w:sz="4" w:space="0" w:color="auto"/>
            </w:tcBorders>
          </w:tcPr>
          <w:p w:rsidR="00746461" w:rsidRPr="00746461" w:rsidRDefault="00746461" w:rsidP="00746461">
            <w:proofErr w:type="spellStart"/>
            <w:r w:rsidRPr="00746461">
              <w:t>매도량</w:t>
            </w:r>
            <w:proofErr w:type="spellEnd"/>
            <w:r w:rsidRPr="00746461">
              <w:t>(개)</w:t>
            </w:r>
          </w:p>
        </w:tc>
        <w:tc>
          <w:tcPr>
            <w:tcW w:w="610" w:type="pct"/>
            <w:tcBorders>
              <w:bottom w:val="single" w:sz="4" w:space="0" w:color="auto"/>
            </w:tcBorders>
          </w:tcPr>
          <w:p w:rsidR="00746461" w:rsidRPr="00746461" w:rsidRDefault="00746461" w:rsidP="00746461">
            <w:pPr>
              <w:rPr>
                <w:b/>
              </w:rPr>
            </w:pPr>
            <w:r w:rsidRPr="00746461">
              <w:rPr>
                <w:b/>
              </w:rPr>
              <w:t>매수-매도(개)</w:t>
            </w:r>
          </w:p>
        </w:tc>
        <w:tc>
          <w:tcPr>
            <w:tcW w:w="933" w:type="pct"/>
            <w:tcBorders>
              <w:bottom w:val="single" w:sz="4" w:space="0" w:color="auto"/>
            </w:tcBorders>
          </w:tcPr>
          <w:p w:rsidR="00746461" w:rsidRPr="00746461" w:rsidRDefault="00746461" w:rsidP="00746461">
            <w:r w:rsidRPr="00746461">
              <w:t>매수대금(원)</w:t>
            </w:r>
          </w:p>
        </w:tc>
        <w:tc>
          <w:tcPr>
            <w:tcW w:w="989" w:type="pct"/>
            <w:tcBorders>
              <w:bottom w:val="single" w:sz="4" w:space="0" w:color="auto"/>
            </w:tcBorders>
          </w:tcPr>
          <w:p w:rsidR="00746461" w:rsidRPr="00746461" w:rsidRDefault="00746461" w:rsidP="00746461">
            <w:r w:rsidRPr="00746461">
              <w:t>매도대금(원)</w:t>
            </w:r>
          </w:p>
        </w:tc>
        <w:tc>
          <w:tcPr>
            <w:tcW w:w="798" w:type="pct"/>
            <w:tcBorders>
              <w:bottom w:val="single" w:sz="4" w:space="0" w:color="auto"/>
            </w:tcBorders>
          </w:tcPr>
          <w:p w:rsidR="00746461" w:rsidRPr="00746461" w:rsidRDefault="00746461" w:rsidP="00746461">
            <w:pPr>
              <w:rPr>
                <w:b/>
              </w:rPr>
            </w:pPr>
            <w:r w:rsidRPr="00746461">
              <w:rPr>
                <w:b/>
              </w:rPr>
              <w:t>매수-매도(원)</w:t>
            </w:r>
          </w:p>
        </w:tc>
      </w:tr>
      <w:tr w:rsidR="00746461" w:rsidRPr="00746461" w:rsidTr="00392C84">
        <w:tc>
          <w:tcPr>
            <w:tcW w:w="341" w:type="pct"/>
            <w:tcBorders>
              <w:bottom w:val="nil"/>
            </w:tcBorders>
            <w:vAlign w:val="center"/>
          </w:tcPr>
          <w:p w:rsidR="00746461" w:rsidRPr="00746461" w:rsidRDefault="00746461" w:rsidP="00746461">
            <w:r w:rsidRPr="00746461">
              <w:t>2004</w:t>
            </w:r>
          </w:p>
        </w:tc>
        <w:tc>
          <w:tcPr>
            <w:tcW w:w="665" w:type="pct"/>
            <w:tcBorders>
              <w:bottom w:val="nil"/>
            </w:tcBorders>
            <w:vAlign w:val="center"/>
          </w:tcPr>
          <w:p w:rsidR="00746461" w:rsidRPr="00746461" w:rsidRDefault="00746461" w:rsidP="00746461">
            <w:r w:rsidRPr="00746461">
              <w:t xml:space="preserve">6,126,358 </w:t>
            </w:r>
          </w:p>
        </w:tc>
        <w:tc>
          <w:tcPr>
            <w:tcW w:w="665" w:type="pct"/>
            <w:tcBorders>
              <w:bottom w:val="nil"/>
            </w:tcBorders>
            <w:vAlign w:val="center"/>
          </w:tcPr>
          <w:p w:rsidR="00746461" w:rsidRPr="00746461" w:rsidRDefault="00746461" w:rsidP="00746461">
            <w:r w:rsidRPr="00746461">
              <w:t xml:space="preserve">6,012,826 </w:t>
            </w:r>
          </w:p>
        </w:tc>
        <w:tc>
          <w:tcPr>
            <w:tcW w:w="610" w:type="pct"/>
            <w:tcBorders>
              <w:bottom w:val="nil"/>
            </w:tcBorders>
            <w:vAlign w:val="center"/>
          </w:tcPr>
          <w:p w:rsidR="00746461" w:rsidRPr="00746461" w:rsidRDefault="00746461" w:rsidP="00746461">
            <w:pPr>
              <w:rPr>
                <w:b/>
              </w:rPr>
            </w:pPr>
            <w:r w:rsidRPr="00746461">
              <w:rPr>
                <w:b/>
              </w:rPr>
              <w:t xml:space="preserve">113,533 </w:t>
            </w:r>
          </w:p>
        </w:tc>
        <w:tc>
          <w:tcPr>
            <w:tcW w:w="933" w:type="pct"/>
            <w:tcBorders>
              <w:bottom w:val="nil"/>
            </w:tcBorders>
            <w:vAlign w:val="center"/>
          </w:tcPr>
          <w:p w:rsidR="00746461" w:rsidRPr="00746461" w:rsidRDefault="00746461" w:rsidP="00746461">
            <w:r w:rsidRPr="00746461">
              <w:t xml:space="preserve">519,298,271,714 </w:t>
            </w:r>
          </w:p>
        </w:tc>
        <w:tc>
          <w:tcPr>
            <w:tcW w:w="989" w:type="pct"/>
            <w:tcBorders>
              <w:bottom w:val="nil"/>
            </w:tcBorders>
            <w:vAlign w:val="center"/>
          </w:tcPr>
          <w:p w:rsidR="00746461" w:rsidRPr="00746461" w:rsidRDefault="00746461" w:rsidP="00746461">
            <w:r w:rsidRPr="00746461">
              <w:t xml:space="preserve">519,342,480,878 </w:t>
            </w:r>
          </w:p>
        </w:tc>
        <w:tc>
          <w:tcPr>
            <w:tcW w:w="798" w:type="pct"/>
            <w:tcBorders>
              <w:bottom w:val="nil"/>
            </w:tcBorders>
            <w:vAlign w:val="center"/>
          </w:tcPr>
          <w:p w:rsidR="00746461" w:rsidRPr="00746461" w:rsidRDefault="00746461" w:rsidP="00746461">
            <w:pPr>
              <w:rPr>
                <w:b/>
              </w:rPr>
            </w:pPr>
            <w:r w:rsidRPr="00746461">
              <w:rPr>
                <w:b/>
              </w:rPr>
              <w:t xml:space="preserve">-44,209,163 </w:t>
            </w:r>
          </w:p>
        </w:tc>
      </w:tr>
      <w:tr w:rsidR="00746461" w:rsidRPr="00746461" w:rsidTr="00392C84">
        <w:tc>
          <w:tcPr>
            <w:tcW w:w="341" w:type="pct"/>
            <w:tcBorders>
              <w:top w:val="nil"/>
              <w:bottom w:val="nil"/>
            </w:tcBorders>
            <w:vAlign w:val="center"/>
          </w:tcPr>
          <w:p w:rsidR="00746461" w:rsidRPr="00746461" w:rsidRDefault="00746461" w:rsidP="00746461">
            <w:r w:rsidRPr="00746461">
              <w:t>2005</w:t>
            </w:r>
          </w:p>
        </w:tc>
        <w:tc>
          <w:tcPr>
            <w:tcW w:w="665" w:type="pct"/>
            <w:tcBorders>
              <w:top w:val="nil"/>
              <w:bottom w:val="nil"/>
            </w:tcBorders>
            <w:vAlign w:val="center"/>
          </w:tcPr>
          <w:p w:rsidR="00746461" w:rsidRPr="00746461" w:rsidRDefault="00746461" w:rsidP="00746461">
            <w:r w:rsidRPr="00746461">
              <w:t xml:space="preserve">7,341,770 </w:t>
            </w:r>
          </w:p>
        </w:tc>
        <w:tc>
          <w:tcPr>
            <w:tcW w:w="665" w:type="pct"/>
            <w:tcBorders>
              <w:top w:val="nil"/>
              <w:bottom w:val="nil"/>
            </w:tcBorders>
            <w:vAlign w:val="center"/>
          </w:tcPr>
          <w:p w:rsidR="00746461" w:rsidRPr="00746461" w:rsidRDefault="00746461" w:rsidP="00746461">
            <w:r w:rsidRPr="00746461">
              <w:t xml:space="preserve">7,252,605 </w:t>
            </w:r>
          </w:p>
        </w:tc>
        <w:tc>
          <w:tcPr>
            <w:tcW w:w="610" w:type="pct"/>
            <w:tcBorders>
              <w:top w:val="nil"/>
              <w:bottom w:val="nil"/>
            </w:tcBorders>
            <w:vAlign w:val="center"/>
          </w:tcPr>
          <w:p w:rsidR="00746461" w:rsidRPr="00746461" w:rsidRDefault="00746461" w:rsidP="00746461">
            <w:pPr>
              <w:rPr>
                <w:b/>
              </w:rPr>
            </w:pPr>
            <w:r w:rsidRPr="00746461">
              <w:rPr>
                <w:b/>
              </w:rPr>
              <w:t xml:space="preserve">89,165 </w:t>
            </w:r>
          </w:p>
        </w:tc>
        <w:tc>
          <w:tcPr>
            <w:tcW w:w="933" w:type="pct"/>
            <w:tcBorders>
              <w:top w:val="nil"/>
              <w:bottom w:val="nil"/>
            </w:tcBorders>
            <w:vAlign w:val="center"/>
          </w:tcPr>
          <w:p w:rsidR="00746461" w:rsidRPr="00746461" w:rsidRDefault="00746461" w:rsidP="00746461">
            <w:r w:rsidRPr="00746461">
              <w:t xml:space="preserve">607,197,995,440 </w:t>
            </w:r>
          </w:p>
        </w:tc>
        <w:tc>
          <w:tcPr>
            <w:tcW w:w="989" w:type="pct"/>
            <w:tcBorders>
              <w:top w:val="nil"/>
              <w:bottom w:val="nil"/>
            </w:tcBorders>
            <w:vAlign w:val="center"/>
          </w:tcPr>
          <w:p w:rsidR="00746461" w:rsidRPr="00746461" w:rsidRDefault="00746461" w:rsidP="00746461">
            <w:r w:rsidRPr="00746461">
              <w:t xml:space="preserve">599,463,263,480 </w:t>
            </w:r>
          </w:p>
        </w:tc>
        <w:tc>
          <w:tcPr>
            <w:tcW w:w="798" w:type="pct"/>
            <w:tcBorders>
              <w:top w:val="nil"/>
              <w:bottom w:val="nil"/>
            </w:tcBorders>
            <w:vAlign w:val="center"/>
          </w:tcPr>
          <w:p w:rsidR="00746461" w:rsidRPr="00746461" w:rsidRDefault="00746461" w:rsidP="00746461">
            <w:pPr>
              <w:rPr>
                <w:b/>
              </w:rPr>
            </w:pPr>
            <w:r w:rsidRPr="00746461">
              <w:rPr>
                <w:b/>
              </w:rPr>
              <w:t xml:space="preserve">7,734,731,960 </w:t>
            </w:r>
          </w:p>
        </w:tc>
      </w:tr>
      <w:tr w:rsidR="00746461" w:rsidRPr="00746461" w:rsidTr="00392C84">
        <w:tc>
          <w:tcPr>
            <w:tcW w:w="341" w:type="pct"/>
            <w:tcBorders>
              <w:top w:val="nil"/>
              <w:bottom w:val="nil"/>
            </w:tcBorders>
            <w:vAlign w:val="center"/>
          </w:tcPr>
          <w:p w:rsidR="00746461" w:rsidRPr="00746461" w:rsidRDefault="00746461" w:rsidP="00746461">
            <w:r w:rsidRPr="00746461">
              <w:t>2006</w:t>
            </w:r>
          </w:p>
        </w:tc>
        <w:tc>
          <w:tcPr>
            <w:tcW w:w="665" w:type="pct"/>
            <w:tcBorders>
              <w:top w:val="nil"/>
              <w:bottom w:val="nil"/>
            </w:tcBorders>
            <w:vAlign w:val="center"/>
          </w:tcPr>
          <w:p w:rsidR="00746461" w:rsidRPr="00746461" w:rsidRDefault="00746461" w:rsidP="00746461">
            <w:r w:rsidRPr="00746461">
              <w:t xml:space="preserve">7,755,628 </w:t>
            </w:r>
          </w:p>
        </w:tc>
        <w:tc>
          <w:tcPr>
            <w:tcW w:w="665" w:type="pct"/>
            <w:tcBorders>
              <w:top w:val="nil"/>
              <w:bottom w:val="nil"/>
            </w:tcBorders>
            <w:vAlign w:val="center"/>
          </w:tcPr>
          <w:p w:rsidR="00746461" w:rsidRPr="00746461" w:rsidRDefault="00746461" w:rsidP="00746461">
            <w:r w:rsidRPr="00746461">
              <w:t xml:space="preserve">7,661,743 </w:t>
            </w:r>
          </w:p>
        </w:tc>
        <w:tc>
          <w:tcPr>
            <w:tcW w:w="610" w:type="pct"/>
            <w:tcBorders>
              <w:top w:val="nil"/>
              <w:bottom w:val="nil"/>
            </w:tcBorders>
            <w:vAlign w:val="center"/>
          </w:tcPr>
          <w:p w:rsidR="00746461" w:rsidRPr="00746461" w:rsidRDefault="00746461" w:rsidP="00746461">
            <w:pPr>
              <w:rPr>
                <w:b/>
              </w:rPr>
            </w:pPr>
            <w:r w:rsidRPr="00746461">
              <w:rPr>
                <w:b/>
              </w:rPr>
              <w:t xml:space="preserve">93,885 </w:t>
            </w:r>
          </w:p>
        </w:tc>
        <w:tc>
          <w:tcPr>
            <w:tcW w:w="933" w:type="pct"/>
            <w:tcBorders>
              <w:top w:val="nil"/>
              <w:bottom w:val="nil"/>
            </w:tcBorders>
            <w:vAlign w:val="center"/>
          </w:tcPr>
          <w:p w:rsidR="00746461" w:rsidRPr="00746461" w:rsidRDefault="00746461" w:rsidP="00746461">
            <w:r w:rsidRPr="00746461">
              <w:t xml:space="preserve">766,890,439,080 </w:t>
            </w:r>
          </w:p>
        </w:tc>
        <w:tc>
          <w:tcPr>
            <w:tcW w:w="989" w:type="pct"/>
            <w:tcBorders>
              <w:top w:val="nil"/>
              <w:bottom w:val="nil"/>
            </w:tcBorders>
            <w:vAlign w:val="center"/>
          </w:tcPr>
          <w:p w:rsidR="00746461" w:rsidRPr="00746461" w:rsidRDefault="00746461" w:rsidP="00746461">
            <w:r w:rsidRPr="00746461">
              <w:t xml:space="preserve">763,872,442,080 </w:t>
            </w:r>
          </w:p>
        </w:tc>
        <w:tc>
          <w:tcPr>
            <w:tcW w:w="798" w:type="pct"/>
            <w:tcBorders>
              <w:top w:val="nil"/>
              <w:bottom w:val="nil"/>
            </w:tcBorders>
            <w:vAlign w:val="center"/>
          </w:tcPr>
          <w:p w:rsidR="00746461" w:rsidRPr="00746461" w:rsidRDefault="00746461" w:rsidP="00746461">
            <w:pPr>
              <w:rPr>
                <w:b/>
              </w:rPr>
            </w:pPr>
            <w:r w:rsidRPr="00746461">
              <w:rPr>
                <w:b/>
              </w:rPr>
              <w:t xml:space="preserve">3,017,997,000 </w:t>
            </w:r>
          </w:p>
        </w:tc>
      </w:tr>
      <w:tr w:rsidR="00746461" w:rsidRPr="00746461" w:rsidTr="00392C84">
        <w:tc>
          <w:tcPr>
            <w:tcW w:w="341" w:type="pct"/>
            <w:tcBorders>
              <w:top w:val="nil"/>
              <w:bottom w:val="nil"/>
            </w:tcBorders>
            <w:vAlign w:val="center"/>
          </w:tcPr>
          <w:p w:rsidR="00746461" w:rsidRPr="00746461" w:rsidRDefault="00746461" w:rsidP="00746461">
            <w:r w:rsidRPr="00746461">
              <w:t>2007</w:t>
            </w:r>
          </w:p>
        </w:tc>
        <w:tc>
          <w:tcPr>
            <w:tcW w:w="665" w:type="pct"/>
            <w:tcBorders>
              <w:top w:val="nil"/>
              <w:bottom w:val="nil"/>
            </w:tcBorders>
            <w:vAlign w:val="center"/>
          </w:tcPr>
          <w:p w:rsidR="00746461" w:rsidRPr="00746461" w:rsidRDefault="00746461" w:rsidP="00746461">
            <w:r w:rsidRPr="00746461">
              <w:t xml:space="preserve">11,206,906 </w:t>
            </w:r>
          </w:p>
        </w:tc>
        <w:tc>
          <w:tcPr>
            <w:tcW w:w="665" w:type="pct"/>
            <w:tcBorders>
              <w:top w:val="nil"/>
              <w:bottom w:val="nil"/>
            </w:tcBorders>
            <w:vAlign w:val="center"/>
          </w:tcPr>
          <w:p w:rsidR="00746461" w:rsidRPr="00746461" w:rsidRDefault="00746461" w:rsidP="00746461">
            <w:r w:rsidRPr="00746461">
              <w:t xml:space="preserve">11,077,559 </w:t>
            </w:r>
          </w:p>
        </w:tc>
        <w:tc>
          <w:tcPr>
            <w:tcW w:w="610" w:type="pct"/>
            <w:tcBorders>
              <w:top w:val="nil"/>
              <w:bottom w:val="nil"/>
            </w:tcBorders>
            <w:vAlign w:val="center"/>
          </w:tcPr>
          <w:p w:rsidR="00746461" w:rsidRPr="00746461" w:rsidRDefault="00746461" w:rsidP="00746461">
            <w:pPr>
              <w:rPr>
                <w:b/>
              </w:rPr>
            </w:pPr>
            <w:r w:rsidRPr="00746461">
              <w:rPr>
                <w:b/>
              </w:rPr>
              <w:t xml:space="preserve">129,347 </w:t>
            </w:r>
          </w:p>
        </w:tc>
        <w:tc>
          <w:tcPr>
            <w:tcW w:w="933" w:type="pct"/>
            <w:tcBorders>
              <w:top w:val="nil"/>
              <w:bottom w:val="nil"/>
            </w:tcBorders>
            <w:vAlign w:val="center"/>
          </w:tcPr>
          <w:p w:rsidR="00746461" w:rsidRPr="00746461" w:rsidRDefault="00746461" w:rsidP="00746461">
            <w:r w:rsidRPr="00746461">
              <w:t xml:space="preserve">1,547,621,802,204 </w:t>
            </w:r>
          </w:p>
        </w:tc>
        <w:tc>
          <w:tcPr>
            <w:tcW w:w="989" w:type="pct"/>
            <w:tcBorders>
              <w:top w:val="nil"/>
              <w:bottom w:val="nil"/>
            </w:tcBorders>
            <w:vAlign w:val="center"/>
          </w:tcPr>
          <w:p w:rsidR="00746461" w:rsidRPr="00746461" w:rsidRDefault="00746461" w:rsidP="00746461">
            <w:r w:rsidRPr="00746461">
              <w:t xml:space="preserve">1,556,192,514,673 </w:t>
            </w:r>
          </w:p>
        </w:tc>
        <w:tc>
          <w:tcPr>
            <w:tcW w:w="798" w:type="pct"/>
            <w:tcBorders>
              <w:top w:val="nil"/>
              <w:bottom w:val="nil"/>
            </w:tcBorders>
            <w:vAlign w:val="center"/>
          </w:tcPr>
          <w:p w:rsidR="00746461" w:rsidRPr="00746461" w:rsidRDefault="00746461" w:rsidP="00746461">
            <w:pPr>
              <w:rPr>
                <w:b/>
              </w:rPr>
            </w:pPr>
            <w:r w:rsidRPr="00746461">
              <w:rPr>
                <w:b/>
              </w:rPr>
              <w:t xml:space="preserve">-8,570,712,469 </w:t>
            </w:r>
          </w:p>
        </w:tc>
      </w:tr>
      <w:tr w:rsidR="00746461" w:rsidRPr="00746461" w:rsidTr="00392C84">
        <w:tc>
          <w:tcPr>
            <w:tcW w:w="341" w:type="pct"/>
            <w:tcBorders>
              <w:top w:val="nil"/>
              <w:bottom w:val="nil"/>
            </w:tcBorders>
            <w:vAlign w:val="center"/>
          </w:tcPr>
          <w:p w:rsidR="00746461" w:rsidRPr="00746461" w:rsidRDefault="00746461" w:rsidP="00746461">
            <w:r w:rsidRPr="00746461">
              <w:t>2008</w:t>
            </w:r>
          </w:p>
        </w:tc>
        <w:tc>
          <w:tcPr>
            <w:tcW w:w="665" w:type="pct"/>
            <w:tcBorders>
              <w:top w:val="nil"/>
              <w:bottom w:val="nil"/>
            </w:tcBorders>
            <w:vAlign w:val="center"/>
          </w:tcPr>
          <w:p w:rsidR="00746461" w:rsidRPr="00746461" w:rsidRDefault="00746461" w:rsidP="00746461">
            <w:r w:rsidRPr="00746461">
              <w:t xml:space="preserve">15,410,273 </w:t>
            </w:r>
          </w:p>
        </w:tc>
        <w:tc>
          <w:tcPr>
            <w:tcW w:w="665" w:type="pct"/>
            <w:tcBorders>
              <w:top w:val="nil"/>
              <w:bottom w:val="nil"/>
            </w:tcBorders>
            <w:vAlign w:val="center"/>
          </w:tcPr>
          <w:p w:rsidR="00746461" w:rsidRPr="00746461" w:rsidRDefault="00746461" w:rsidP="00746461">
            <w:r w:rsidRPr="00746461">
              <w:t xml:space="preserve">15,279,334 </w:t>
            </w:r>
          </w:p>
        </w:tc>
        <w:tc>
          <w:tcPr>
            <w:tcW w:w="610" w:type="pct"/>
            <w:tcBorders>
              <w:top w:val="nil"/>
              <w:bottom w:val="nil"/>
            </w:tcBorders>
            <w:vAlign w:val="center"/>
          </w:tcPr>
          <w:p w:rsidR="00746461" w:rsidRPr="00746461" w:rsidRDefault="00746461" w:rsidP="00746461">
            <w:pPr>
              <w:rPr>
                <w:b/>
              </w:rPr>
            </w:pPr>
            <w:r w:rsidRPr="00746461">
              <w:rPr>
                <w:b/>
              </w:rPr>
              <w:t xml:space="preserve">130,939 </w:t>
            </w:r>
          </w:p>
        </w:tc>
        <w:tc>
          <w:tcPr>
            <w:tcW w:w="933" w:type="pct"/>
            <w:tcBorders>
              <w:top w:val="nil"/>
              <w:bottom w:val="nil"/>
            </w:tcBorders>
            <w:vAlign w:val="center"/>
          </w:tcPr>
          <w:p w:rsidR="00746461" w:rsidRPr="00746461" w:rsidRDefault="00746461" w:rsidP="00746461">
            <w:r w:rsidRPr="00746461">
              <w:t xml:space="preserve">2,468,051,720,327 </w:t>
            </w:r>
          </w:p>
        </w:tc>
        <w:tc>
          <w:tcPr>
            <w:tcW w:w="989" w:type="pct"/>
            <w:tcBorders>
              <w:top w:val="nil"/>
              <w:bottom w:val="nil"/>
            </w:tcBorders>
            <w:vAlign w:val="center"/>
          </w:tcPr>
          <w:p w:rsidR="00746461" w:rsidRPr="00746461" w:rsidRDefault="00746461" w:rsidP="00746461">
            <w:r w:rsidRPr="00746461">
              <w:t xml:space="preserve">2,477,047,974,531 </w:t>
            </w:r>
          </w:p>
        </w:tc>
        <w:tc>
          <w:tcPr>
            <w:tcW w:w="798" w:type="pct"/>
            <w:tcBorders>
              <w:top w:val="nil"/>
              <w:bottom w:val="nil"/>
            </w:tcBorders>
            <w:vAlign w:val="center"/>
          </w:tcPr>
          <w:p w:rsidR="00746461" w:rsidRPr="00746461" w:rsidRDefault="00746461" w:rsidP="00746461">
            <w:pPr>
              <w:rPr>
                <w:b/>
              </w:rPr>
            </w:pPr>
            <w:r w:rsidRPr="00746461">
              <w:rPr>
                <w:b/>
              </w:rPr>
              <w:t xml:space="preserve">-8,996,254,204 </w:t>
            </w:r>
          </w:p>
        </w:tc>
      </w:tr>
      <w:tr w:rsidR="00746461" w:rsidRPr="00746461" w:rsidTr="00392C84">
        <w:tc>
          <w:tcPr>
            <w:tcW w:w="341" w:type="pct"/>
            <w:tcBorders>
              <w:top w:val="nil"/>
              <w:bottom w:val="nil"/>
            </w:tcBorders>
            <w:vAlign w:val="center"/>
          </w:tcPr>
          <w:p w:rsidR="00746461" w:rsidRPr="00746461" w:rsidRDefault="00746461" w:rsidP="00746461">
            <w:r w:rsidRPr="00746461">
              <w:t>2009</w:t>
            </w:r>
          </w:p>
        </w:tc>
        <w:tc>
          <w:tcPr>
            <w:tcW w:w="665" w:type="pct"/>
            <w:tcBorders>
              <w:top w:val="nil"/>
              <w:bottom w:val="nil"/>
            </w:tcBorders>
            <w:vAlign w:val="center"/>
          </w:tcPr>
          <w:p w:rsidR="00746461" w:rsidRPr="00746461" w:rsidRDefault="00746461" w:rsidP="00746461">
            <w:r w:rsidRPr="00746461">
              <w:t xml:space="preserve">18,489,112 </w:t>
            </w:r>
          </w:p>
        </w:tc>
        <w:tc>
          <w:tcPr>
            <w:tcW w:w="665" w:type="pct"/>
            <w:tcBorders>
              <w:top w:val="nil"/>
              <w:bottom w:val="nil"/>
            </w:tcBorders>
            <w:vAlign w:val="center"/>
          </w:tcPr>
          <w:p w:rsidR="00746461" w:rsidRPr="00746461" w:rsidRDefault="00746461" w:rsidP="00746461">
            <w:r w:rsidRPr="00746461">
              <w:t xml:space="preserve">18,329,038 </w:t>
            </w:r>
          </w:p>
        </w:tc>
        <w:tc>
          <w:tcPr>
            <w:tcW w:w="610" w:type="pct"/>
            <w:tcBorders>
              <w:top w:val="nil"/>
              <w:bottom w:val="nil"/>
            </w:tcBorders>
            <w:vAlign w:val="center"/>
          </w:tcPr>
          <w:p w:rsidR="00746461" w:rsidRPr="00746461" w:rsidRDefault="00746461" w:rsidP="00746461">
            <w:pPr>
              <w:rPr>
                <w:b/>
              </w:rPr>
            </w:pPr>
            <w:r w:rsidRPr="00746461">
              <w:rPr>
                <w:b/>
              </w:rPr>
              <w:t xml:space="preserve">160,074 </w:t>
            </w:r>
          </w:p>
        </w:tc>
        <w:tc>
          <w:tcPr>
            <w:tcW w:w="933" w:type="pct"/>
            <w:tcBorders>
              <w:top w:val="nil"/>
              <w:bottom w:val="nil"/>
            </w:tcBorders>
            <w:vAlign w:val="center"/>
          </w:tcPr>
          <w:p w:rsidR="00746461" w:rsidRPr="00746461" w:rsidRDefault="00746461" w:rsidP="00746461">
            <w:r w:rsidRPr="00746461">
              <w:t xml:space="preserve">2,194,613,611,824 </w:t>
            </w:r>
          </w:p>
        </w:tc>
        <w:tc>
          <w:tcPr>
            <w:tcW w:w="989" w:type="pct"/>
            <w:tcBorders>
              <w:top w:val="nil"/>
              <w:bottom w:val="nil"/>
            </w:tcBorders>
            <w:vAlign w:val="center"/>
          </w:tcPr>
          <w:p w:rsidR="00746461" w:rsidRPr="00746461" w:rsidRDefault="00746461" w:rsidP="00746461">
            <w:r w:rsidRPr="00746461">
              <w:t xml:space="preserve">2,191,635,503,961 </w:t>
            </w:r>
          </w:p>
        </w:tc>
        <w:tc>
          <w:tcPr>
            <w:tcW w:w="798" w:type="pct"/>
            <w:tcBorders>
              <w:top w:val="nil"/>
              <w:bottom w:val="nil"/>
            </w:tcBorders>
            <w:vAlign w:val="center"/>
          </w:tcPr>
          <w:p w:rsidR="00746461" w:rsidRPr="00746461" w:rsidRDefault="00746461" w:rsidP="00746461">
            <w:pPr>
              <w:rPr>
                <w:b/>
              </w:rPr>
            </w:pPr>
            <w:r w:rsidRPr="00746461">
              <w:rPr>
                <w:b/>
              </w:rPr>
              <w:t xml:space="preserve">2,978,107,863 </w:t>
            </w:r>
          </w:p>
        </w:tc>
      </w:tr>
      <w:tr w:rsidR="00746461" w:rsidRPr="00746461" w:rsidTr="00392C84">
        <w:tc>
          <w:tcPr>
            <w:tcW w:w="341" w:type="pct"/>
            <w:tcBorders>
              <w:top w:val="nil"/>
              <w:bottom w:val="nil"/>
            </w:tcBorders>
            <w:vAlign w:val="center"/>
          </w:tcPr>
          <w:p w:rsidR="00746461" w:rsidRPr="00746461" w:rsidRDefault="00746461" w:rsidP="00746461">
            <w:r w:rsidRPr="00746461">
              <w:t>2010</w:t>
            </w:r>
          </w:p>
        </w:tc>
        <w:tc>
          <w:tcPr>
            <w:tcW w:w="665" w:type="pct"/>
            <w:tcBorders>
              <w:top w:val="nil"/>
              <w:bottom w:val="nil"/>
            </w:tcBorders>
            <w:vAlign w:val="center"/>
          </w:tcPr>
          <w:p w:rsidR="00746461" w:rsidRPr="00746461" w:rsidRDefault="00746461" w:rsidP="00746461">
            <w:r w:rsidRPr="00746461">
              <w:t xml:space="preserve">22,867,876 </w:t>
            </w:r>
          </w:p>
        </w:tc>
        <w:tc>
          <w:tcPr>
            <w:tcW w:w="665" w:type="pct"/>
            <w:tcBorders>
              <w:top w:val="nil"/>
              <w:bottom w:val="nil"/>
            </w:tcBorders>
            <w:vAlign w:val="center"/>
          </w:tcPr>
          <w:p w:rsidR="00746461" w:rsidRPr="00746461" w:rsidRDefault="00746461" w:rsidP="00746461">
            <w:r w:rsidRPr="00746461">
              <w:t xml:space="preserve">22,727,467 </w:t>
            </w:r>
          </w:p>
        </w:tc>
        <w:tc>
          <w:tcPr>
            <w:tcW w:w="610" w:type="pct"/>
            <w:tcBorders>
              <w:top w:val="nil"/>
              <w:bottom w:val="nil"/>
            </w:tcBorders>
            <w:vAlign w:val="center"/>
          </w:tcPr>
          <w:p w:rsidR="00746461" w:rsidRPr="00746461" w:rsidRDefault="00746461" w:rsidP="00746461">
            <w:pPr>
              <w:rPr>
                <w:b/>
              </w:rPr>
            </w:pPr>
            <w:r w:rsidRPr="00746461">
              <w:rPr>
                <w:b/>
              </w:rPr>
              <w:t xml:space="preserve">140,409 </w:t>
            </w:r>
          </w:p>
        </w:tc>
        <w:tc>
          <w:tcPr>
            <w:tcW w:w="933" w:type="pct"/>
            <w:tcBorders>
              <w:top w:val="nil"/>
              <w:bottom w:val="nil"/>
            </w:tcBorders>
            <w:vAlign w:val="center"/>
          </w:tcPr>
          <w:p w:rsidR="00746461" w:rsidRPr="00746461" w:rsidRDefault="00746461" w:rsidP="00746461">
            <w:r w:rsidRPr="00746461">
              <w:t xml:space="preserve">2,549,732,009,240 </w:t>
            </w:r>
          </w:p>
        </w:tc>
        <w:tc>
          <w:tcPr>
            <w:tcW w:w="989" w:type="pct"/>
            <w:tcBorders>
              <w:top w:val="nil"/>
              <w:bottom w:val="nil"/>
            </w:tcBorders>
            <w:vAlign w:val="center"/>
          </w:tcPr>
          <w:p w:rsidR="00746461" w:rsidRPr="00746461" w:rsidRDefault="00746461" w:rsidP="00746461">
            <w:r w:rsidRPr="00746461">
              <w:t xml:space="preserve">2,555,134,065,280 </w:t>
            </w:r>
          </w:p>
        </w:tc>
        <w:tc>
          <w:tcPr>
            <w:tcW w:w="798" w:type="pct"/>
            <w:tcBorders>
              <w:top w:val="nil"/>
              <w:bottom w:val="nil"/>
            </w:tcBorders>
            <w:vAlign w:val="center"/>
          </w:tcPr>
          <w:p w:rsidR="00746461" w:rsidRPr="00746461" w:rsidRDefault="00746461" w:rsidP="00746461">
            <w:pPr>
              <w:rPr>
                <w:b/>
              </w:rPr>
            </w:pPr>
            <w:r w:rsidRPr="00746461">
              <w:rPr>
                <w:b/>
              </w:rPr>
              <w:t xml:space="preserve">-5,402,056,040 </w:t>
            </w:r>
          </w:p>
        </w:tc>
      </w:tr>
      <w:tr w:rsidR="00746461" w:rsidRPr="00746461" w:rsidTr="00392C84">
        <w:tc>
          <w:tcPr>
            <w:tcW w:w="341" w:type="pct"/>
            <w:tcBorders>
              <w:top w:val="nil"/>
            </w:tcBorders>
            <w:vAlign w:val="center"/>
          </w:tcPr>
          <w:p w:rsidR="00746461" w:rsidRPr="00746461" w:rsidRDefault="00746461" w:rsidP="00746461">
            <w:r w:rsidRPr="00746461">
              <w:t>2011</w:t>
            </w:r>
          </w:p>
        </w:tc>
        <w:tc>
          <w:tcPr>
            <w:tcW w:w="665" w:type="pct"/>
            <w:tcBorders>
              <w:top w:val="nil"/>
            </w:tcBorders>
            <w:vAlign w:val="center"/>
          </w:tcPr>
          <w:p w:rsidR="00746461" w:rsidRPr="00746461" w:rsidRDefault="00746461" w:rsidP="00746461">
            <w:r w:rsidRPr="00746461">
              <w:t xml:space="preserve">28,339,210 </w:t>
            </w:r>
          </w:p>
        </w:tc>
        <w:tc>
          <w:tcPr>
            <w:tcW w:w="665" w:type="pct"/>
            <w:tcBorders>
              <w:top w:val="nil"/>
            </w:tcBorders>
            <w:vAlign w:val="center"/>
          </w:tcPr>
          <w:p w:rsidR="00746461" w:rsidRPr="00746461" w:rsidRDefault="00746461" w:rsidP="00746461">
            <w:r w:rsidRPr="00746461">
              <w:t xml:space="preserve">28,295,423 </w:t>
            </w:r>
          </w:p>
        </w:tc>
        <w:tc>
          <w:tcPr>
            <w:tcW w:w="610" w:type="pct"/>
            <w:tcBorders>
              <w:top w:val="nil"/>
            </w:tcBorders>
            <w:vAlign w:val="center"/>
          </w:tcPr>
          <w:p w:rsidR="00746461" w:rsidRPr="00746461" w:rsidRDefault="00746461" w:rsidP="00746461">
            <w:pPr>
              <w:rPr>
                <w:b/>
              </w:rPr>
            </w:pPr>
            <w:r w:rsidRPr="00746461">
              <w:rPr>
                <w:b/>
              </w:rPr>
              <w:t xml:space="preserve">43,787 </w:t>
            </w:r>
          </w:p>
        </w:tc>
        <w:tc>
          <w:tcPr>
            <w:tcW w:w="933" w:type="pct"/>
            <w:tcBorders>
              <w:top w:val="nil"/>
            </w:tcBorders>
            <w:vAlign w:val="center"/>
          </w:tcPr>
          <w:p w:rsidR="00746461" w:rsidRPr="00746461" w:rsidRDefault="00746461" w:rsidP="00746461">
            <w:r w:rsidRPr="00746461">
              <w:t xml:space="preserve">4,206,421,293,480 </w:t>
            </w:r>
          </w:p>
        </w:tc>
        <w:tc>
          <w:tcPr>
            <w:tcW w:w="989" w:type="pct"/>
            <w:tcBorders>
              <w:top w:val="nil"/>
            </w:tcBorders>
            <w:vAlign w:val="center"/>
          </w:tcPr>
          <w:p w:rsidR="00746461" w:rsidRPr="00746461" w:rsidRDefault="00746461" w:rsidP="00746461">
            <w:r w:rsidRPr="00746461">
              <w:t xml:space="preserve">4,238,884,877,400 </w:t>
            </w:r>
          </w:p>
        </w:tc>
        <w:tc>
          <w:tcPr>
            <w:tcW w:w="798" w:type="pct"/>
            <w:tcBorders>
              <w:top w:val="nil"/>
            </w:tcBorders>
            <w:vAlign w:val="center"/>
          </w:tcPr>
          <w:p w:rsidR="00746461" w:rsidRPr="00746461" w:rsidRDefault="00746461" w:rsidP="00746461">
            <w:pPr>
              <w:rPr>
                <w:b/>
              </w:rPr>
            </w:pPr>
            <w:r w:rsidRPr="00746461">
              <w:rPr>
                <w:b/>
              </w:rPr>
              <w:t xml:space="preserve">-32,463,583,920 </w:t>
            </w:r>
          </w:p>
        </w:tc>
      </w:tr>
      <w:tr w:rsidR="00746461" w:rsidRPr="00746461" w:rsidTr="00392C84">
        <w:tc>
          <w:tcPr>
            <w:tcW w:w="341" w:type="pct"/>
            <w:tcBorders>
              <w:top w:val="nil"/>
            </w:tcBorders>
            <w:vAlign w:val="center"/>
          </w:tcPr>
          <w:p w:rsidR="00746461" w:rsidRPr="00746461" w:rsidRDefault="00746461" w:rsidP="00746461">
            <w:r w:rsidRPr="00746461">
              <w:t>합계</w:t>
            </w:r>
          </w:p>
        </w:tc>
        <w:tc>
          <w:tcPr>
            <w:tcW w:w="665" w:type="pct"/>
            <w:tcBorders>
              <w:top w:val="nil"/>
            </w:tcBorders>
            <w:vAlign w:val="center"/>
          </w:tcPr>
          <w:p w:rsidR="00746461" w:rsidRPr="00746461" w:rsidRDefault="00746461" w:rsidP="00746461">
            <w:r w:rsidRPr="00746461">
              <w:t xml:space="preserve">117,537,133 </w:t>
            </w:r>
          </w:p>
        </w:tc>
        <w:tc>
          <w:tcPr>
            <w:tcW w:w="665" w:type="pct"/>
            <w:tcBorders>
              <w:top w:val="nil"/>
            </w:tcBorders>
            <w:vAlign w:val="center"/>
          </w:tcPr>
          <w:p w:rsidR="00746461" w:rsidRPr="00746461" w:rsidRDefault="00746461" w:rsidP="00746461">
            <w:r w:rsidRPr="00746461">
              <w:t xml:space="preserve">116,635,994 </w:t>
            </w:r>
          </w:p>
        </w:tc>
        <w:tc>
          <w:tcPr>
            <w:tcW w:w="610" w:type="pct"/>
            <w:tcBorders>
              <w:top w:val="nil"/>
            </w:tcBorders>
            <w:vAlign w:val="center"/>
          </w:tcPr>
          <w:p w:rsidR="00746461" w:rsidRPr="00746461" w:rsidRDefault="00746461" w:rsidP="00746461">
            <w:pPr>
              <w:rPr>
                <w:b/>
              </w:rPr>
            </w:pPr>
            <w:r w:rsidRPr="00746461">
              <w:rPr>
                <w:b/>
              </w:rPr>
              <w:t xml:space="preserve">901,139 </w:t>
            </w:r>
          </w:p>
        </w:tc>
        <w:tc>
          <w:tcPr>
            <w:tcW w:w="933" w:type="pct"/>
            <w:tcBorders>
              <w:top w:val="nil"/>
            </w:tcBorders>
            <w:vAlign w:val="center"/>
          </w:tcPr>
          <w:p w:rsidR="00746461" w:rsidRPr="00746461" w:rsidRDefault="00746461" w:rsidP="00746461">
            <w:r w:rsidRPr="00746461">
              <w:t xml:space="preserve">14,859,827,143,308 </w:t>
            </w:r>
          </w:p>
        </w:tc>
        <w:tc>
          <w:tcPr>
            <w:tcW w:w="989" w:type="pct"/>
            <w:tcBorders>
              <w:top w:val="nil"/>
            </w:tcBorders>
            <w:vAlign w:val="center"/>
          </w:tcPr>
          <w:p w:rsidR="00746461" w:rsidRPr="00746461" w:rsidRDefault="00746461" w:rsidP="00746461">
            <w:r w:rsidRPr="00746461">
              <w:t xml:space="preserve">14,901,573,122,282 </w:t>
            </w:r>
          </w:p>
        </w:tc>
        <w:tc>
          <w:tcPr>
            <w:tcW w:w="798" w:type="pct"/>
            <w:tcBorders>
              <w:top w:val="nil"/>
            </w:tcBorders>
            <w:vAlign w:val="center"/>
          </w:tcPr>
          <w:p w:rsidR="00746461" w:rsidRPr="00746461" w:rsidRDefault="00746461" w:rsidP="00746461">
            <w:pPr>
              <w:rPr>
                <w:b/>
              </w:rPr>
            </w:pPr>
            <w:r w:rsidRPr="00746461">
              <w:rPr>
                <w:b/>
              </w:rPr>
              <w:t xml:space="preserve">-41,745,978,974 </w:t>
            </w:r>
          </w:p>
        </w:tc>
      </w:tr>
    </w:tbl>
    <w:p w:rsidR="00746461" w:rsidRPr="00746461" w:rsidRDefault="00746461" w:rsidP="00746461">
      <w:pPr>
        <w:sectPr w:rsidR="00746461" w:rsidRPr="00746461" w:rsidSect="00392C84">
          <w:footerReference w:type="default" r:id="rId17"/>
          <w:pgSz w:w="16838" w:h="11906" w:orient="landscape"/>
          <w:pgMar w:top="1440" w:right="1701" w:bottom="1440" w:left="1440" w:header="851" w:footer="992" w:gutter="0"/>
          <w:cols w:space="425"/>
          <w:docGrid w:linePitch="360"/>
        </w:sectPr>
      </w:pPr>
    </w:p>
    <w:p w:rsidR="00746461" w:rsidRPr="00746461" w:rsidRDefault="00746461" w:rsidP="00746461">
      <w:pPr>
        <w:jc w:val="center"/>
        <w:rPr>
          <w:b/>
        </w:rPr>
      </w:pPr>
      <w:r>
        <w:rPr>
          <w:rFonts w:hint="eastAsia"/>
          <w:b/>
        </w:rPr>
        <w:lastRenderedPageBreak/>
        <w:t>&lt;</w:t>
      </w:r>
      <w:r w:rsidRPr="00746461">
        <w:rPr>
          <w:b/>
        </w:rPr>
        <w:t>표 3</w:t>
      </w:r>
      <w:r>
        <w:rPr>
          <w:rFonts w:hint="eastAsia"/>
          <w:b/>
        </w:rPr>
        <w:t>&gt;</w:t>
      </w:r>
      <w:r w:rsidRPr="00746461">
        <w:rPr>
          <w:b/>
        </w:rPr>
        <w:t xml:space="preserve"> 투자자 별 변동성 거래강도 측도의 기초통계량</w:t>
      </w:r>
    </w:p>
    <w:p w:rsidR="00746461" w:rsidRPr="00746461" w:rsidRDefault="00746461" w:rsidP="00746461">
      <w:r w:rsidRPr="00746461">
        <w:t xml:space="preserve">표 3은 각 거래주체의 </w:t>
      </w:r>
      <w:proofErr w:type="spellStart"/>
      <w:r w:rsidRPr="00746461">
        <w:t>매수량과</w:t>
      </w:r>
      <w:proofErr w:type="spellEnd"/>
      <w:r w:rsidRPr="00746461">
        <w:t xml:space="preserve"> </w:t>
      </w:r>
      <w:proofErr w:type="spellStart"/>
      <w:r w:rsidRPr="00746461">
        <w:t>매도량의</w:t>
      </w:r>
      <w:proofErr w:type="spellEnd"/>
      <w:r w:rsidRPr="00746461">
        <w:t xml:space="preserve"> 차이 즉, 거래강도의 기초통계량을 보여준다. 패널 A는 </w:t>
      </w:r>
      <w:r w:rsidR="00B1680D">
        <w:rPr>
          <w:rFonts w:hint="eastAsia"/>
        </w:rPr>
        <w:t>국내</w:t>
      </w:r>
      <w:r w:rsidRPr="00746461">
        <w:t>기관투자자의 거래강도와 외국인</w:t>
      </w:r>
      <w:r w:rsidR="009E0AF3">
        <w:rPr>
          <w:rFonts w:hint="eastAsia"/>
        </w:rPr>
        <w:t>기관</w:t>
      </w:r>
      <w:r w:rsidRPr="00746461">
        <w:t xml:space="preserve">투자자의 거래강도에 대한 결과를 보여주고 있으며, 패널 B는 </w:t>
      </w:r>
      <w:r w:rsidR="00ED550E">
        <w:rPr>
          <w:rFonts w:hint="eastAsia"/>
        </w:rPr>
        <w:t xml:space="preserve">전체국내 </w:t>
      </w:r>
      <w:r w:rsidRPr="00746461">
        <w:t xml:space="preserve">기관투자자 중 증권회사와 투자회사의 거래강도를 분리하여 보여주고 있다. 각 거래그룹에 대해 거래강도의 </w:t>
      </w:r>
      <w:proofErr w:type="spellStart"/>
      <w:r w:rsidRPr="00746461">
        <w:t>주별</w:t>
      </w:r>
      <w:proofErr w:type="spellEnd"/>
      <w:r w:rsidRPr="00746461">
        <w:t xml:space="preserve"> </w:t>
      </w:r>
      <w:proofErr w:type="spellStart"/>
      <w:r w:rsidRPr="00746461">
        <w:t>시계열</w:t>
      </w:r>
      <w:proofErr w:type="spellEnd"/>
      <w:r w:rsidRPr="00746461">
        <w:t xml:space="preserve"> 자료를 구성하고 이 자료의 평균, 표준편차, 왜도, 첨도, 최대값, 최소값, 자기상관계수, </w:t>
      </w:r>
      <w:proofErr w:type="spellStart"/>
      <w:r w:rsidRPr="00746461">
        <w:t>Jarque-Bera</w:t>
      </w:r>
      <w:proofErr w:type="spellEnd"/>
      <w:r w:rsidRPr="00746461">
        <w:t xml:space="preserve"> 통계량, </w:t>
      </w:r>
      <w:proofErr w:type="spellStart"/>
      <w:r w:rsidRPr="00746461">
        <w:t>단위근</w:t>
      </w:r>
      <w:proofErr w:type="spellEnd"/>
      <w:r w:rsidRPr="00746461">
        <w:t xml:space="preserve"> 검정결과가 포함되었다. </w:t>
      </w:r>
      <w:proofErr w:type="spellStart"/>
      <w:r w:rsidRPr="00746461">
        <w:t>단위근</w:t>
      </w:r>
      <w:proofErr w:type="spellEnd"/>
      <w:r w:rsidRPr="00746461">
        <w:t xml:space="preserve"> </w:t>
      </w:r>
      <w:proofErr w:type="spellStart"/>
      <w:r w:rsidRPr="00746461">
        <w:t>검정법은</w:t>
      </w:r>
      <w:proofErr w:type="spellEnd"/>
      <w:r w:rsidRPr="00746461">
        <w:t xml:space="preserve"> Dickey-Fuller 테스트를 사용하였으며, 안정성(</w:t>
      </w:r>
      <w:proofErr w:type="spellStart"/>
      <w:r w:rsidRPr="00746461">
        <w:t>stationarity</w:t>
      </w:r>
      <w:proofErr w:type="spellEnd"/>
      <w:r w:rsidRPr="00746461">
        <w:t>) 검증은 Kwiatkowski et al</w:t>
      </w:r>
      <w:proofErr w:type="gramStart"/>
      <w:r w:rsidRPr="00746461">
        <w:t>.(</w:t>
      </w:r>
      <w:proofErr w:type="gramEnd"/>
      <w:r w:rsidRPr="00746461">
        <w:t xml:space="preserve">1992)의 방법론을 사용한다. </w:t>
      </w:r>
      <w:proofErr w:type="spellStart"/>
      <w:r w:rsidRPr="00746461">
        <w:t>단위근</w:t>
      </w:r>
      <w:proofErr w:type="spellEnd"/>
      <w:r w:rsidRPr="00746461">
        <w:t xml:space="preserve"> 검정의 </w:t>
      </w:r>
      <w:proofErr w:type="spellStart"/>
      <w:r w:rsidRPr="00746461">
        <w:t>귀무가설은</w:t>
      </w:r>
      <w:proofErr w:type="spellEnd"/>
      <w:r w:rsidRPr="00746461">
        <w:t xml:space="preserve"> </w:t>
      </w:r>
      <w:r w:rsidRPr="00746461">
        <w:object w:dxaOrig="1200" w:dyaOrig="360">
          <v:shape id="_x0000_i1029" type="#_x0000_t75" style="width:61.1pt;height:18.4pt" o:ole="">
            <v:imagedata r:id="rId9" o:title=""/>
          </v:shape>
          <o:OLEObject Type="Embed" ProgID="Equation.DSMT4" ShapeID="_x0000_i1029" DrawAspect="Content" ObjectID="_1463777618" r:id="rId18"/>
        </w:object>
      </w:r>
      <w:r w:rsidRPr="00746461">
        <w:t xml:space="preserve">이며, </w:t>
      </w:r>
      <w:r w:rsidRPr="00746461">
        <w:object w:dxaOrig="1740" w:dyaOrig="360">
          <v:shape id="_x0000_i1030" type="#_x0000_t75" style="width:87.05pt;height:18.4pt" o:ole="">
            <v:imagedata r:id="rId11" o:title=""/>
          </v:shape>
          <o:OLEObject Type="Embed" ProgID="Equation.DSMT4" ShapeID="_x0000_i1030" DrawAspect="Content" ObjectID="_1463777619" r:id="rId19"/>
        </w:object>
      </w:r>
      <w:r w:rsidRPr="00746461">
        <w:t xml:space="preserve">식을 통해 검증하였다.  *, **, *** 는 각각 10%, 5%, 1%의 신뢰수준 유의성을 나타낸다. </w:t>
      </w:r>
    </w:p>
    <w:p w:rsidR="00746461" w:rsidRPr="00392C84" w:rsidRDefault="00746461" w:rsidP="00746461">
      <w:pPr>
        <w:rPr>
          <w:b/>
          <w:sz w:val="6"/>
        </w:rPr>
      </w:pPr>
    </w:p>
    <w:p w:rsidR="00746461" w:rsidRPr="00746461" w:rsidRDefault="00746461" w:rsidP="00746461">
      <w:pPr>
        <w:rPr>
          <w:b/>
        </w:rPr>
      </w:pPr>
      <w:r w:rsidRPr="00746461">
        <w:rPr>
          <w:b/>
        </w:rPr>
        <w:t xml:space="preserve">Panel A. </w:t>
      </w:r>
      <w:r w:rsidR="00B1680D">
        <w:rPr>
          <w:rFonts w:hint="eastAsia"/>
          <w:b/>
        </w:rPr>
        <w:t>국내</w:t>
      </w:r>
      <w:r w:rsidRPr="00746461">
        <w:rPr>
          <w:b/>
        </w:rPr>
        <w:t xml:space="preserve"> 기관 투자자와 외국인</w:t>
      </w:r>
      <w:r w:rsidR="009E0AF3" w:rsidRPr="009E0AF3">
        <w:rPr>
          <w:rFonts w:hint="eastAsia"/>
          <w:b/>
        </w:rPr>
        <w:t>기관</w:t>
      </w:r>
      <w:r w:rsidRPr="00746461">
        <w:rPr>
          <w:b/>
        </w:rPr>
        <w:t>투자자의 거래강도 측도</w:t>
      </w:r>
    </w:p>
    <w:tbl>
      <w:tblPr>
        <w:tblStyle w:val="ac"/>
        <w:tblW w:w="5000" w:type="pct"/>
        <w:tblBorders>
          <w:left w:val="none" w:sz="0" w:space="0" w:color="auto"/>
          <w:right w:val="none" w:sz="0" w:space="0" w:color="auto"/>
          <w:insideV w:val="none" w:sz="0" w:space="0" w:color="auto"/>
        </w:tblBorders>
        <w:tblLook w:val="04A0"/>
      </w:tblPr>
      <w:tblGrid>
        <w:gridCol w:w="2619"/>
        <w:gridCol w:w="2824"/>
        <w:gridCol w:w="2824"/>
        <w:gridCol w:w="2824"/>
        <w:gridCol w:w="2822"/>
      </w:tblGrid>
      <w:tr w:rsidR="00746461" w:rsidRPr="00746461" w:rsidTr="00392C84">
        <w:tc>
          <w:tcPr>
            <w:tcW w:w="941" w:type="pct"/>
            <w:tcBorders>
              <w:bottom w:val="single" w:sz="4" w:space="0" w:color="auto"/>
            </w:tcBorders>
            <w:vAlign w:val="center"/>
          </w:tcPr>
          <w:p w:rsidR="00746461" w:rsidRPr="00746461" w:rsidRDefault="00746461" w:rsidP="00746461"/>
        </w:tc>
        <w:tc>
          <w:tcPr>
            <w:tcW w:w="2030" w:type="pct"/>
            <w:gridSpan w:val="2"/>
            <w:tcBorders>
              <w:bottom w:val="single" w:sz="4" w:space="0" w:color="auto"/>
            </w:tcBorders>
            <w:vAlign w:val="center"/>
          </w:tcPr>
          <w:p w:rsidR="00746461" w:rsidRPr="00746461" w:rsidRDefault="00B1680D" w:rsidP="00746461">
            <w:r>
              <w:rPr>
                <w:rFonts w:hint="eastAsia"/>
              </w:rPr>
              <w:t>국내</w:t>
            </w:r>
            <w:r w:rsidR="00746461" w:rsidRPr="00746461">
              <w:t xml:space="preserve"> 기관투자자</w:t>
            </w:r>
          </w:p>
        </w:tc>
        <w:tc>
          <w:tcPr>
            <w:tcW w:w="2029" w:type="pct"/>
            <w:gridSpan w:val="2"/>
            <w:tcBorders>
              <w:bottom w:val="single" w:sz="4" w:space="0" w:color="auto"/>
            </w:tcBorders>
          </w:tcPr>
          <w:p w:rsidR="00746461" w:rsidRPr="00746461" w:rsidRDefault="00746461" w:rsidP="00746461">
            <w:r w:rsidRPr="00746461">
              <w:t>외국인</w:t>
            </w:r>
            <w:r w:rsidR="009E0AF3">
              <w:rPr>
                <w:rFonts w:hint="eastAsia"/>
              </w:rPr>
              <w:t>기관</w:t>
            </w:r>
            <w:r w:rsidRPr="00746461">
              <w:t>투자자</w:t>
            </w:r>
          </w:p>
        </w:tc>
      </w:tr>
      <w:tr w:rsidR="00746461" w:rsidRPr="00746461" w:rsidTr="00392C84">
        <w:tc>
          <w:tcPr>
            <w:tcW w:w="941" w:type="pct"/>
            <w:tcBorders>
              <w:bottom w:val="single" w:sz="4" w:space="0" w:color="auto"/>
            </w:tcBorders>
            <w:vAlign w:val="center"/>
          </w:tcPr>
          <w:p w:rsidR="00746461" w:rsidRPr="00746461" w:rsidRDefault="00746461" w:rsidP="00746461">
            <w:r w:rsidRPr="00746461">
              <w:t>Statistics</w:t>
            </w:r>
          </w:p>
        </w:tc>
        <w:tc>
          <w:tcPr>
            <w:tcW w:w="1015" w:type="pct"/>
            <w:tcBorders>
              <w:bottom w:val="single" w:sz="4" w:space="0" w:color="auto"/>
            </w:tcBorders>
            <w:vAlign w:val="center"/>
          </w:tcPr>
          <w:p w:rsidR="00746461" w:rsidRPr="00746461" w:rsidRDefault="00746461" w:rsidP="00746461">
            <w:r w:rsidRPr="00746461">
              <w:t>거래량(개) 기준</w:t>
            </w:r>
          </w:p>
        </w:tc>
        <w:tc>
          <w:tcPr>
            <w:tcW w:w="1015" w:type="pct"/>
            <w:tcBorders>
              <w:bottom w:val="single" w:sz="4" w:space="0" w:color="auto"/>
            </w:tcBorders>
          </w:tcPr>
          <w:p w:rsidR="00746461" w:rsidRPr="00746461" w:rsidRDefault="00746461" w:rsidP="00746461">
            <w:r w:rsidRPr="00746461">
              <w:t>거래대금(원) 기준</w:t>
            </w:r>
          </w:p>
        </w:tc>
        <w:tc>
          <w:tcPr>
            <w:tcW w:w="1015" w:type="pct"/>
            <w:tcBorders>
              <w:bottom w:val="single" w:sz="4" w:space="0" w:color="auto"/>
            </w:tcBorders>
            <w:vAlign w:val="center"/>
          </w:tcPr>
          <w:p w:rsidR="00746461" w:rsidRPr="00746461" w:rsidRDefault="00746461" w:rsidP="00746461">
            <w:r w:rsidRPr="00746461">
              <w:t>거래량(개) 기준</w:t>
            </w:r>
          </w:p>
        </w:tc>
        <w:tc>
          <w:tcPr>
            <w:tcW w:w="1014" w:type="pct"/>
            <w:tcBorders>
              <w:bottom w:val="single" w:sz="4" w:space="0" w:color="auto"/>
            </w:tcBorders>
          </w:tcPr>
          <w:p w:rsidR="00746461" w:rsidRPr="00746461" w:rsidRDefault="00746461" w:rsidP="00746461">
            <w:r w:rsidRPr="00746461">
              <w:t>거래대금(원) 기준</w:t>
            </w:r>
          </w:p>
        </w:tc>
      </w:tr>
      <w:tr w:rsidR="00746461" w:rsidRPr="00746461" w:rsidTr="00392C84">
        <w:tc>
          <w:tcPr>
            <w:tcW w:w="941" w:type="pct"/>
            <w:tcBorders>
              <w:bottom w:val="nil"/>
            </w:tcBorders>
            <w:vAlign w:val="center"/>
          </w:tcPr>
          <w:p w:rsidR="00746461" w:rsidRPr="00746461" w:rsidRDefault="00746461" w:rsidP="00746461">
            <w:r w:rsidRPr="00746461">
              <w:t>Mean</w:t>
            </w:r>
          </w:p>
        </w:tc>
        <w:tc>
          <w:tcPr>
            <w:tcW w:w="1015" w:type="pct"/>
            <w:tcBorders>
              <w:bottom w:val="nil"/>
            </w:tcBorders>
            <w:vAlign w:val="center"/>
          </w:tcPr>
          <w:p w:rsidR="00746461" w:rsidRPr="00746461" w:rsidRDefault="00746461" w:rsidP="00746461">
            <w:r w:rsidRPr="00746461">
              <w:t>-450,557.60</w:t>
            </w:r>
          </w:p>
        </w:tc>
        <w:tc>
          <w:tcPr>
            <w:tcW w:w="1015" w:type="pct"/>
            <w:tcBorders>
              <w:bottom w:val="nil"/>
            </w:tcBorders>
            <w:vAlign w:val="center"/>
          </w:tcPr>
          <w:p w:rsidR="00746461" w:rsidRPr="00746461" w:rsidRDefault="00746461" w:rsidP="00746461">
            <w:r w:rsidRPr="00746461">
              <w:t>3,934,220,273.87</w:t>
            </w:r>
          </w:p>
        </w:tc>
        <w:tc>
          <w:tcPr>
            <w:tcW w:w="1015" w:type="pct"/>
            <w:tcBorders>
              <w:bottom w:val="nil"/>
            </w:tcBorders>
            <w:vAlign w:val="center"/>
          </w:tcPr>
          <w:p w:rsidR="00746461" w:rsidRPr="00746461" w:rsidRDefault="00746461" w:rsidP="00746461">
            <w:r w:rsidRPr="00746461">
              <w:t xml:space="preserve">112,671.35 </w:t>
            </w:r>
          </w:p>
        </w:tc>
        <w:tc>
          <w:tcPr>
            <w:tcW w:w="1014" w:type="pct"/>
            <w:tcBorders>
              <w:bottom w:val="nil"/>
            </w:tcBorders>
            <w:vAlign w:val="center"/>
          </w:tcPr>
          <w:p w:rsidR="00746461" w:rsidRPr="00746461" w:rsidRDefault="00746461" w:rsidP="00746461">
            <w:r w:rsidRPr="00746461">
              <w:t xml:space="preserve">-5,192,737,851.76 </w:t>
            </w:r>
          </w:p>
        </w:tc>
      </w:tr>
      <w:tr w:rsidR="00746461" w:rsidRPr="00746461" w:rsidTr="00392C84">
        <w:tc>
          <w:tcPr>
            <w:tcW w:w="941" w:type="pct"/>
            <w:tcBorders>
              <w:top w:val="nil"/>
              <w:bottom w:val="nil"/>
            </w:tcBorders>
            <w:vAlign w:val="center"/>
          </w:tcPr>
          <w:p w:rsidR="00746461" w:rsidRPr="00746461" w:rsidRDefault="00746461" w:rsidP="00746461">
            <w:r w:rsidRPr="00746461">
              <w:t>S.D.</w:t>
            </w:r>
          </w:p>
        </w:tc>
        <w:tc>
          <w:tcPr>
            <w:tcW w:w="1015" w:type="pct"/>
            <w:tcBorders>
              <w:top w:val="nil"/>
              <w:bottom w:val="nil"/>
            </w:tcBorders>
            <w:vAlign w:val="center"/>
          </w:tcPr>
          <w:p w:rsidR="00746461" w:rsidRPr="00746461" w:rsidRDefault="00746461" w:rsidP="00746461">
            <w:r w:rsidRPr="00746461">
              <w:t>377,806.48</w:t>
            </w:r>
          </w:p>
        </w:tc>
        <w:tc>
          <w:tcPr>
            <w:tcW w:w="1015" w:type="pct"/>
            <w:tcBorders>
              <w:top w:val="nil"/>
              <w:bottom w:val="nil"/>
            </w:tcBorders>
            <w:vAlign w:val="center"/>
          </w:tcPr>
          <w:p w:rsidR="00746461" w:rsidRPr="00746461" w:rsidRDefault="00746461" w:rsidP="00746461">
            <w:r w:rsidRPr="00746461">
              <w:t>12,078,198,103.48</w:t>
            </w:r>
          </w:p>
        </w:tc>
        <w:tc>
          <w:tcPr>
            <w:tcW w:w="1015" w:type="pct"/>
            <w:tcBorders>
              <w:top w:val="nil"/>
              <w:bottom w:val="nil"/>
            </w:tcBorders>
            <w:vAlign w:val="center"/>
          </w:tcPr>
          <w:p w:rsidR="00746461" w:rsidRPr="00746461" w:rsidRDefault="00746461" w:rsidP="00746461">
            <w:r w:rsidRPr="00746461">
              <w:t xml:space="preserve">140,914.67 </w:t>
            </w:r>
          </w:p>
        </w:tc>
        <w:tc>
          <w:tcPr>
            <w:tcW w:w="1014" w:type="pct"/>
            <w:tcBorders>
              <w:top w:val="nil"/>
              <w:bottom w:val="nil"/>
            </w:tcBorders>
            <w:vAlign w:val="center"/>
          </w:tcPr>
          <w:p w:rsidR="00746461" w:rsidRPr="00746461" w:rsidRDefault="00746461" w:rsidP="00746461">
            <w:r w:rsidRPr="00746461">
              <w:t xml:space="preserve">52,748,652,167.03 </w:t>
            </w:r>
          </w:p>
        </w:tc>
      </w:tr>
      <w:tr w:rsidR="00746461" w:rsidRPr="00746461" w:rsidTr="00392C84">
        <w:tc>
          <w:tcPr>
            <w:tcW w:w="941" w:type="pct"/>
            <w:tcBorders>
              <w:top w:val="nil"/>
              <w:bottom w:val="nil"/>
            </w:tcBorders>
            <w:vAlign w:val="center"/>
          </w:tcPr>
          <w:p w:rsidR="00746461" w:rsidRPr="00746461" w:rsidRDefault="00746461" w:rsidP="00746461">
            <w:proofErr w:type="spellStart"/>
            <w:r w:rsidRPr="00746461">
              <w:t>Skewness</w:t>
            </w:r>
            <w:proofErr w:type="spellEnd"/>
          </w:p>
        </w:tc>
        <w:tc>
          <w:tcPr>
            <w:tcW w:w="1015" w:type="pct"/>
            <w:tcBorders>
              <w:top w:val="nil"/>
              <w:bottom w:val="nil"/>
            </w:tcBorders>
            <w:vAlign w:val="center"/>
          </w:tcPr>
          <w:p w:rsidR="00746461" w:rsidRPr="00746461" w:rsidRDefault="00746461" w:rsidP="00746461">
            <w:r w:rsidRPr="00746461">
              <w:t>-1.07</w:t>
            </w:r>
          </w:p>
        </w:tc>
        <w:tc>
          <w:tcPr>
            <w:tcW w:w="1015" w:type="pct"/>
            <w:tcBorders>
              <w:top w:val="nil"/>
              <w:bottom w:val="nil"/>
            </w:tcBorders>
            <w:vAlign w:val="center"/>
          </w:tcPr>
          <w:p w:rsidR="00746461" w:rsidRPr="00746461" w:rsidRDefault="00746461" w:rsidP="00746461">
            <w:r w:rsidRPr="00746461">
              <w:t>-0.93</w:t>
            </w:r>
          </w:p>
        </w:tc>
        <w:tc>
          <w:tcPr>
            <w:tcW w:w="1015" w:type="pct"/>
            <w:tcBorders>
              <w:top w:val="nil"/>
              <w:bottom w:val="nil"/>
            </w:tcBorders>
            <w:vAlign w:val="center"/>
          </w:tcPr>
          <w:p w:rsidR="00746461" w:rsidRPr="00746461" w:rsidRDefault="00746461" w:rsidP="00746461">
            <w:r w:rsidRPr="00746461">
              <w:t xml:space="preserve">-0.01 </w:t>
            </w:r>
          </w:p>
        </w:tc>
        <w:tc>
          <w:tcPr>
            <w:tcW w:w="1014" w:type="pct"/>
            <w:tcBorders>
              <w:top w:val="nil"/>
              <w:bottom w:val="nil"/>
            </w:tcBorders>
            <w:vAlign w:val="center"/>
          </w:tcPr>
          <w:p w:rsidR="00746461" w:rsidRPr="00746461" w:rsidRDefault="00746461" w:rsidP="00746461">
            <w:r w:rsidRPr="00746461">
              <w:t xml:space="preserve">-13.73 </w:t>
            </w:r>
          </w:p>
        </w:tc>
      </w:tr>
      <w:tr w:rsidR="00746461" w:rsidRPr="00746461" w:rsidTr="00392C84">
        <w:tc>
          <w:tcPr>
            <w:tcW w:w="941" w:type="pct"/>
            <w:tcBorders>
              <w:top w:val="nil"/>
              <w:bottom w:val="nil"/>
            </w:tcBorders>
            <w:vAlign w:val="center"/>
          </w:tcPr>
          <w:p w:rsidR="00746461" w:rsidRPr="00746461" w:rsidRDefault="00746461" w:rsidP="00746461">
            <w:r w:rsidRPr="00746461">
              <w:t>Kurtosis</w:t>
            </w:r>
          </w:p>
        </w:tc>
        <w:tc>
          <w:tcPr>
            <w:tcW w:w="1015" w:type="pct"/>
            <w:tcBorders>
              <w:top w:val="nil"/>
              <w:bottom w:val="nil"/>
            </w:tcBorders>
            <w:vAlign w:val="center"/>
          </w:tcPr>
          <w:p w:rsidR="00746461" w:rsidRPr="00746461" w:rsidRDefault="00746461" w:rsidP="00746461">
            <w:r w:rsidRPr="00746461">
              <w:t>3.40</w:t>
            </w:r>
          </w:p>
        </w:tc>
        <w:tc>
          <w:tcPr>
            <w:tcW w:w="1015" w:type="pct"/>
            <w:tcBorders>
              <w:top w:val="nil"/>
              <w:bottom w:val="nil"/>
            </w:tcBorders>
            <w:vAlign w:val="center"/>
          </w:tcPr>
          <w:p w:rsidR="00746461" w:rsidRPr="00746461" w:rsidRDefault="00746461" w:rsidP="00746461">
            <w:r w:rsidRPr="00746461">
              <w:t>18.20</w:t>
            </w:r>
          </w:p>
        </w:tc>
        <w:tc>
          <w:tcPr>
            <w:tcW w:w="1015" w:type="pct"/>
            <w:tcBorders>
              <w:top w:val="nil"/>
              <w:bottom w:val="nil"/>
            </w:tcBorders>
            <w:vAlign w:val="center"/>
          </w:tcPr>
          <w:p w:rsidR="00746461" w:rsidRPr="00746461" w:rsidRDefault="00746461" w:rsidP="00746461">
            <w:r w:rsidRPr="00746461">
              <w:t xml:space="preserve">4.61 </w:t>
            </w:r>
          </w:p>
        </w:tc>
        <w:tc>
          <w:tcPr>
            <w:tcW w:w="1014" w:type="pct"/>
            <w:tcBorders>
              <w:top w:val="nil"/>
              <w:bottom w:val="nil"/>
            </w:tcBorders>
            <w:vAlign w:val="center"/>
          </w:tcPr>
          <w:p w:rsidR="00746461" w:rsidRPr="00746461" w:rsidRDefault="00746461" w:rsidP="00746461">
            <w:r w:rsidRPr="00746461">
              <w:t xml:space="preserve">238.27 </w:t>
            </w:r>
          </w:p>
        </w:tc>
      </w:tr>
      <w:tr w:rsidR="00746461" w:rsidRPr="00746461" w:rsidTr="00392C84">
        <w:tc>
          <w:tcPr>
            <w:tcW w:w="941" w:type="pct"/>
            <w:tcBorders>
              <w:top w:val="nil"/>
              <w:bottom w:val="nil"/>
            </w:tcBorders>
            <w:vAlign w:val="center"/>
          </w:tcPr>
          <w:p w:rsidR="00746461" w:rsidRPr="00746461" w:rsidRDefault="00746461" w:rsidP="00746461">
            <w:r w:rsidRPr="00746461">
              <w:t>Max</w:t>
            </w:r>
          </w:p>
        </w:tc>
        <w:tc>
          <w:tcPr>
            <w:tcW w:w="1015" w:type="pct"/>
            <w:tcBorders>
              <w:top w:val="nil"/>
              <w:bottom w:val="nil"/>
            </w:tcBorders>
            <w:vAlign w:val="center"/>
          </w:tcPr>
          <w:p w:rsidR="00746461" w:rsidRPr="00746461" w:rsidRDefault="00746461" w:rsidP="00746461">
            <w:r w:rsidRPr="00746461">
              <w:t>67,888</w:t>
            </w:r>
          </w:p>
        </w:tc>
        <w:tc>
          <w:tcPr>
            <w:tcW w:w="1015" w:type="pct"/>
            <w:tcBorders>
              <w:top w:val="nil"/>
              <w:bottom w:val="nil"/>
            </w:tcBorders>
            <w:vAlign w:val="center"/>
          </w:tcPr>
          <w:p w:rsidR="00746461" w:rsidRPr="00746461" w:rsidRDefault="00746461" w:rsidP="00746461">
            <w:r w:rsidRPr="00746461">
              <w:t>55,275,607,000</w:t>
            </w:r>
          </w:p>
        </w:tc>
        <w:tc>
          <w:tcPr>
            <w:tcW w:w="1015" w:type="pct"/>
            <w:tcBorders>
              <w:top w:val="nil"/>
              <w:bottom w:val="nil"/>
            </w:tcBorders>
            <w:vAlign w:val="center"/>
          </w:tcPr>
          <w:p w:rsidR="00746461" w:rsidRPr="00746461" w:rsidRDefault="00746461" w:rsidP="00746461">
            <w:r w:rsidRPr="00746461">
              <w:t>626,822</w:t>
            </w:r>
          </w:p>
        </w:tc>
        <w:tc>
          <w:tcPr>
            <w:tcW w:w="1014" w:type="pct"/>
            <w:tcBorders>
              <w:top w:val="nil"/>
              <w:bottom w:val="nil"/>
            </w:tcBorders>
            <w:vAlign w:val="center"/>
          </w:tcPr>
          <w:p w:rsidR="00746461" w:rsidRPr="00746461" w:rsidRDefault="00746461" w:rsidP="00746461">
            <w:r w:rsidRPr="00746461">
              <w:t>61,974,865,000</w:t>
            </w:r>
          </w:p>
        </w:tc>
      </w:tr>
      <w:tr w:rsidR="00746461" w:rsidRPr="00746461" w:rsidTr="00392C84">
        <w:tc>
          <w:tcPr>
            <w:tcW w:w="941" w:type="pct"/>
            <w:tcBorders>
              <w:top w:val="nil"/>
              <w:bottom w:val="nil"/>
            </w:tcBorders>
            <w:vAlign w:val="center"/>
          </w:tcPr>
          <w:p w:rsidR="00746461" w:rsidRPr="00746461" w:rsidRDefault="00746461" w:rsidP="00746461">
            <w:r w:rsidRPr="00746461">
              <w:t>Min</w:t>
            </w:r>
          </w:p>
        </w:tc>
        <w:tc>
          <w:tcPr>
            <w:tcW w:w="1015" w:type="pct"/>
            <w:tcBorders>
              <w:top w:val="nil"/>
              <w:bottom w:val="nil"/>
            </w:tcBorders>
            <w:vAlign w:val="center"/>
          </w:tcPr>
          <w:p w:rsidR="00746461" w:rsidRPr="00746461" w:rsidRDefault="00746461" w:rsidP="00746461">
            <w:r w:rsidRPr="00746461">
              <w:t>-1,797,683</w:t>
            </w:r>
          </w:p>
        </w:tc>
        <w:tc>
          <w:tcPr>
            <w:tcW w:w="1015" w:type="pct"/>
            <w:tcBorders>
              <w:top w:val="nil"/>
              <w:bottom w:val="nil"/>
            </w:tcBorders>
            <w:vAlign w:val="center"/>
          </w:tcPr>
          <w:p w:rsidR="00746461" w:rsidRPr="00746461" w:rsidRDefault="00746461" w:rsidP="00746461">
            <w:r w:rsidRPr="00746461">
              <w:t>-98,715,628,000</w:t>
            </w:r>
          </w:p>
        </w:tc>
        <w:tc>
          <w:tcPr>
            <w:tcW w:w="1015" w:type="pct"/>
            <w:tcBorders>
              <w:top w:val="nil"/>
              <w:bottom w:val="nil"/>
            </w:tcBorders>
            <w:vAlign w:val="center"/>
          </w:tcPr>
          <w:p w:rsidR="00746461" w:rsidRPr="00746461" w:rsidRDefault="00746461" w:rsidP="00746461">
            <w:r w:rsidRPr="00746461">
              <w:t>-478,201</w:t>
            </w:r>
          </w:p>
        </w:tc>
        <w:tc>
          <w:tcPr>
            <w:tcW w:w="1014" w:type="pct"/>
            <w:tcBorders>
              <w:top w:val="nil"/>
              <w:bottom w:val="nil"/>
            </w:tcBorders>
            <w:vAlign w:val="center"/>
          </w:tcPr>
          <w:p w:rsidR="00746461" w:rsidRPr="00746461" w:rsidRDefault="00746461" w:rsidP="00746461">
            <w:r w:rsidRPr="00746461">
              <w:t>-9.2908E+11</w:t>
            </w:r>
          </w:p>
        </w:tc>
      </w:tr>
      <w:tr w:rsidR="00746461" w:rsidRPr="00746461" w:rsidTr="00392C84">
        <w:tc>
          <w:tcPr>
            <w:tcW w:w="941" w:type="pct"/>
            <w:tcBorders>
              <w:top w:val="nil"/>
              <w:bottom w:val="nil"/>
            </w:tcBorders>
            <w:vAlign w:val="center"/>
          </w:tcPr>
          <w:p w:rsidR="00746461" w:rsidRPr="00746461" w:rsidRDefault="00746461" w:rsidP="00746461">
            <w:r w:rsidRPr="00746461">
              <w:t>Serial corr.</w:t>
            </w:r>
          </w:p>
        </w:tc>
        <w:tc>
          <w:tcPr>
            <w:tcW w:w="1015" w:type="pct"/>
            <w:tcBorders>
              <w:top w:val="nil"/>
              <w:bottom w:val="nil"/>
            </w:tcBorders>
            <w:vAlign w:val="center"/>
          </w:tcPr>
          <w:p w:rsidR="00746461" w:rsidRPr="00746461" w:rsidRDefault="00746461" w:rsidP="00746461">
            <w:r w:rsidRPr="00746461">
              <w:t>-0.0761</w:t>
            </w:r>
          </w:p>
        </w:tc>
        <w:tc>
          <w:tcPr>
            <w:tcW w:w="1015" w:type="pct"/>
            <w:tcBorders>
              <w:top w:val="nil"/>
              <w:bottom w:val="nil"/>
            </w:tcBorders>
            <w:vAlign w:val="center"/>
          </w:tcPr>
          <w:p w:rsidR="00746461" w:rsidRPr="00746461" w:rsidRDefault="00746461" w:rsidP="00746461">
            <w:r w:rsidRPr="00746461">
              <w:t>0.3103</w:t>
            </w:r>
          </w:p>
        </w:tc>
        <w:tc>
          <w:tcPr>
            <w:tcW w:w="1015" w:type="pct"/>
            <w:tcBorders>
              <w:top w:val="nil"/>
              <w:bottom w:val="nil"/>
            </w:tcBorders>
            <w:vAlign w:val="center"/>
          </w:tcPr>
          <w:p w:rsidR="00746461" w:rsidRPr="00746461" w:rsidRDefault="00746461" w:rsidP="00746461">
            <w:r w:rsidRPr="00746461">
              <w:t xml:space="preserve">0.0554 </w:t>
            </w:r>
          </w:p>
        </w:tc>
        <w:tc>
          <w:tcPr>
            <w:tcW w:w="1014" w:type="pct"/>
            <w:tcBorders>
              <w:top w:val="nil"/>
              <w:bottom w:val="nil"/>
            </w:tcBorders>
            <w:vAlign w:val="center"/>
          </w:tcPr>
          <w:p w:rsidR="00746461" w:rsidRPr="00746461" w:rsidRDefault="00746461" w:rsidP="00746461">
            <w:r w:rsidRPr="00746461">
              <w:t xml:space="preserve">0.0647 </w:t>
            </w:r>
          </w:p>
        </w:tc>
      </w:tr>
      <w:tr w:rsidR="00746461" w:rsidRPr="00746461" w:rsidTr="00392C84">
        <w:tc>
          <w:tcPr>
            <w:tcW w:w="941" w:type="pct"/>
            <w:tcBorders>
              <w:top w:val="nil"/>
              <w:bottom w:val="single" w:sz="4" w:space="0" w:color="auto"/>
            </w:tcBorders>
            <w:vAlign w:val="center"/>
          </w:tcPr>
          <w:p w:rsidR="00746461" w:rsidRPr="00746461" w:rsidRDefault="00746461" w:rsidP="00746461">
            <w:proofErr w:type="spellStart"/>
            <w:r w:rsidRPr="00746461">
              <w:t>Jarque-Bera</w:t>
            </w:r>
            <w:proofErr w:type="spellEnd"/>
            <w:r w:rsidRPr="00746461">
              <w:t xml:space="preserve"> statistics</w:t>
            </w:r>
          </w:p>
        </w:tc>
        <w:tc>
          <w:tcPr>
            <w:tcW w:w="1015" w:type="pct"/>
            <w:tcBorders>
              <w:top w:val="nil"/>
              <w:bottom w:val="single" w:sz="4" w:space="0" w:color="auto"/>
            </w:tcBorders>
            <w:vAlign w:val="center"/>
          </w:tcPr>
          <w:p w:rsidR="00746461" w:rsidRPr="00746461" w:rsidRDefault="00746461" w:rsidP="00746461">
            <w:r w:rsidRPr="00746461">
              <w:t>79.03*** (0.001)</w:t>
            </w:r>
          </w:p>
        </w:tc>
        <w:tc>
          <w:tcPr>
            <w:tcW w:w="1015" w:type="pct"/>
            <w:tcBorders>
              <w:top w:val="nil"/>
              <w:bottom w:val="single" w:sz="4" w:space="0" w:color="auto"/>
            </w:tcBorders>
          </w:tcPr>
          <w:p w:rsidR="00746461" w:rsidRPr="00746461" w:rsidRDefault="00746461" w:rsidP="00746461">
            <w:r w:rsidRPr="00746461">
              <w:t>3887.43*** (0.001)</w:t>
            </w:r>
          </w:p>
        </w:tc>
        <w:tc>
          <w:tcPr>
            <w:tcW w:w="1015" w:type="pct"/>
            <w:tcBorders>
              <w:top w:val="nil"/>
              <w:bottom w:val="single" w:sz="4" w:space="0" w:color="auto"/>
            </w:tcBorders>
            <w:vAlign w:val="center"/>
          </w:tcPr>
          <w:p w:rsidR="00746461" w:rsidRPr="00746461" w:rsidRDefault="00746461" w:rsidP="00746461">
            <w:r w:rsidRPr="00746461">
              <w:t>42.95*** (0.001)</w:t>
            </w:r>
          </w:p>
        </w:tc>
        <w:tc>
          <w:tcPr>
            <w:tcW w:w="1014" w:type="pct"/>
            <w:tcBorders>
              <w:top w:val="nil"/>
              <w:bottom w:val="single" w:sz="4" w:space="0" w:color="auto"/>
            </w:tcBorders>
          </w:tcPr>
          <w:p w:rsidR="00746461" w:rsidRPr="00746461" w:rsidRDefault="00746461" w:rsidP="00746461">
            <w:r w:rsidRPr="00746461">
              <w:t>930,443.90*** (0.001)</w:t>
            </w:r>
          </w:p>
        </w:tc>
      </w:tr>
      <w:tr w:rsidR="00746461" w:rsidRPr="00746461" w:rsidTr="00392C84">
        <w:tc>
          <w:tcPr>
            <w:tcW w:w="941" w:type="pct"/>
            <w:tcBorders>
              <w:top w:val="single" w:sz="4" w:space="0" w:color="auto"/>
              <w:bottom w:val="single" w:sz="4" w:space="0" w:color="auto"/>
            </w:tcBorders>
            <w:vAlign w:val="center"/>
          </w:tcPr>
          <w:p w:rsidR="00746461" w:rsidRPr="00746461" w:rsidRDefault="00746461" w:rsidP="00746461">
            <w:pPr>
              <w:rPr>
                <w:b/>
              </w:rPr>
            </w:pPr>
            <w:r w:rsidRPr="00746461">
              <w:rPr>
                <w:b/>
              </w:rPr>
              <w:t>Test statistics</w:t>
            </w:r>
          </w:p>
        </w:tc>
        <w:tc>
          <w:tcPr>
            <w:tcW w:w="1015" w:type="pct"/>
            <w:tcBorders>
              <w:top w:val="single" w:sz="4" w:space="0" w:color="auto"/>
              <w:bottom w:val="single" w:sz="4" w:space="0" w:color="auto"/>
            </w:tcBorders>
            <w:vAlign w:val="center"/>
          </w:tcPr>
          <w:p w:rsidR="00746461" w:rsidRPr="00746461" w:rsidRDefault="00746461" w:rsidP="00746461"/>
        </w:tc>
        <w:tc>
          <w:tcPr>
            <w:tcW w:w="1015" w:type="pct"/>
            <w:tcBorders>
              <w:top w:val="single" w:sz="4" w:space="0" w:color="auto"/>
              <w:bottom w:val="single" w:sz="4" w:space="0" w:color="auto"/>
            </w:tcBorders>
            <w:vAlign w:val="center"/>
          </w:tcPr>
          <w:p w:rsidR="00746461" w:rsidRPr="00746461" w:rsidRDefault="00746461" w:rsidP="00746461"/>
        </w:tc>
        <w:tc>
          <w:tcPr>
            <w:tcW w:w="1015" w:type="pct"/>
            <w:tcBorders>
              <w:top w:val="single" w:sz="4" w:space="0" w:color="auto"/>
              <w:bottom w:val="single" w:sz="4" w:space="0" w:color="auto"/>
            </w:tcBorders>
            <w:vAlign w:val="center"/>
          </w:tcPr>
          <w:p w:rsidR="00746461" w:rsidRPr="00746461" w:rsidRDefault="00746461" w:rsidP="00746461"/>
        </w:tc>
        <w:tc>
          <w:tcPr>
            <w:tcW w:w="1014" w:type="pct"/>
            <w:tcBorders>
              <w:top w:val="single" w:sz="4" w:space="0" w:color="auto"/>
              <w:bottom w:val="single" w:sz="4" w:space="0" w:color="auto"/>
            </w:tcBorders>
            <w:vAlign w:val="center"/>
          </w:tcPr>
          <w:p w:rsidR="00746461" w:rsidRPr="00746461" w:rsidRDefault="00746461" w:rsidP="00746461"/>
        </w:tc>
      </w:tr>
      <w:tr w:rsidR="00746461" w:rsidRPr="00746461" w:rsidTr="00392C84">
        <w:tc>
          <w:tcPr>
            <w:tcW w:w="941" w:type="pct"/>
            <w:tcBorders>
              <w:top w:val="single" w:sz="4" w:space="0" w:color="auto"/>
              <w:bottom w:val="nil"/>
            </w:tcBorders>
            <w:vAlign w:val="center"/>
          </w:tcPr>
          <w:p w:rsidR="00746461" w:rsidRPr="00746461" w:rsidRDefault="00746461" w:rsidP="00746461">
            <w:r w:rsidRPr="00746461">
              <w:t>H0: Unit root</w:t>
            </w:r>
          </w:p>
        </w:tc>
        <w:tc>
          <w:tcPr>
            <w:tcW w:w="1015" w:type="pct"/>
            <w:tcBorders>
              <w:top w:val="single" w:sz="4" w:space="0" w:color="auto"/>
              <w:bottom w:val="nil"/>
            </w:tcBorders>
            <w:vAlign w:val="center"/>
          </w:tcPr>
          <w:p w:rsidR="00746461" w:rsidRPr="00746461" w:rsidRDefault="00746461" w:rsidP="00746461">
            <w:r w:rsidRPr="00746461">
              <w:t>-21.4553***</w:t>
            </w:r>
          </w:p>
        </w:tc>
        <w:tc>
          <w:tcPr>
            <w:tcW w:w="1015" w:type="pct"/>
            <w:tcBorders>
              <w:top w:val="single" w:sz="4" w:space="0" w:color="auto"/>
              <w:bottom w:val="nil"/>
            </w:tcBorders>
            <w:vAlign w:val="center"/>
          </w:tcPr>
          <w:p w:rsidR="00746461" w:rsidRPr="00746461" w:rsidRDefault="00746461" w:rsidP="00746461">
            <w:r w:rsidRPr="00746461">
              <w:t>-14.4177***</w:t>
            </w:r>
          </w:p>
        </w:tc>
        <w:tc>
          <w:tcPr>
            <w:tcW w:w="1015" w:type="pct"/>
            <w:tcBorders>
              <w:top w:val="single" w:sz="4" w:space="0" w:color="auto"/>
              <w:bottom w:val="nil"/>
            </w:tcBorders>
            <w:vAlign w:val="center"/>
          </w:tcPr>
          <w:p w:rsidR="00746461" w:rsidRPr="00746461" w:rsidRDefault="00746461" w:rsidP="00746461">
            <w:r w:rsidRPr="00746461">
              <w:t>-19.0220***</w:t>
            </w:r>
          </w:p>
        </w:tc>
        <w:tc>
          <w:tcPr>
            <w:tcW w:w="1014" w:type="pct"/>
            <w:tcBorders>
              <w:top w:val="single" w:sz="4" w:space="0" w:color="auto"/>
              <w:bottom w:val="nil"/>
            </w:tcBorders>
            <w:vAlign w:val="center"/>
          </w:tcPr>
          <w:p w:rsidR="00746461" w:rsidRPr="00746461" w:rsidRDefault="00746461" w:rsidP="00746461">
            <w:r w:rsidRPr="00746461">
              <w:t>-18.6321***</w:t>
            </w:r>
          </w:p>
        </w:tc>
      </w:tr>
      <w:tr w:rsidR="00746461" w:rsidRPr="00746461" w:rsidTr="00392C84">
        <w:tc>
          <w:tcPr>
            <w:tcW w:w="941" w:type="pct"/>
            <w:tcBorders>
              <w:top w:val="nil"/>
            </w:tcBorders>
            <w:vAlign w:val="center"/>
          </w:tcPr>
          <w:p w:rsidR="00746461" w:rsidRPr="00746461" w:rsidRDefault="00746461" w:rsidP="00746461">
            <w:r w:rsidRPr="00746461">
              <w:t>H0: Stationary</w:t>
            </w:r>
          </w:p>
        </w:tc>
        <w:tc>
          <w:tcPr>
            <w:tcW w:w="1015" w:type="pct"/>
            <w:tcBorders>
              <w:top w:val="nil"/>
            </w:tcBorders>
            <w:vAlign w:val="center"/>
          </w:tcPr>
          <w:p w:rsidR="00746461" w:rsidRPr="00746461" w:rsidRDefault="00746461" w:rsidP="00746461">
            <w:r w:rsidRPr="00746461">
              <w:t>0.0577</w:t>
            </w:r>
          </w:p>
        </w:tc>
        <w:tc>
          <w:tcPr>
            <w:tcW w:w="1015" w:type="pct"/>
            <w:tcBorders>
              <w:top w:val="nil"/>
            </w:tcBorders>
            <w:vAlign w:val="center"/>
          </w:tcPr>
          <w:p w:rsidR="00746461" w:rsidRPr="00746461" w:rsidRDefault="00746461" w:rsidP="00746461">
            <w:r w:rsidRPr="00746461">
              <w:t>0.7012</w:t>
            </w:r>
          </w:p>
        </w:tc>
        <w:tc>
          <w:tcPr>
            <w:tcW w:w="1015" w:type="pct"/>
            <w:tcBorders>
              <w:top w:val="nil"/>
            </w:tcBorders>
            <w:vAlign w:val="center"/>
          </w:tcPr>
          <w:p w:rsidR="00746461" w:rsidRPr="00746461" w:rsidRDefault="00746461" w:rsidP="00746461">
            <w:r w:rsidRPr="00746461">
              <w:t>0.3629</w:t>
            </w:r>
          </w:p>
        </w:tc>
        <w:tc>
          <w:tcPr>
            <w:tcW w:w="1014" w:type="pct"/>
            <w:tcBorders>
              <w:top w:val="nil"/>
            </w:tcBorders>
            <w:vAlign w:val="center"/>
          </w:tcPr>
          <w:p w:rsidR="00746461" w:rsidRPr="00746461" w:rsidRDefault="00746461" w:rsidP="00746461">
            <w:r w:rsidRPr="00746461">
              <w:t>0.1192</w:t>
            </w:r>
          </w:p>
        </w:tc>
      </w:tr>
    </w:tbl>
    <w:p w:rsidR="00746461" w:rsidRPr="00392C84" w:rsidRDefault="00746461" w:rsidP="00746461">
      <w:pPr>
        <w:rPr>
          <w:sz w:val="10"/>
        </w:rPr>
      </w:pPr>
    </w:p>
    <w:p w:rsidR="00746461" w:rsidRPr="00746461" w:rsidRDefault="00746461" w:rsidP="00746461">
      <w:pPr>
        <w:rPr>
          <w:b/>
        </w:rPr>
      </w:pPr>
      <w:r w:rsidRPr="00746461">
        <w:rPr>
          <w:b/>
        </w:rPr>
        <w:t xml:space="preserve">Panel B. </w:t>
      </w:r>
      <w:r w:rsidR="00B1680D">
        <w:rPr>
          <w:rFonts w:hint="eastAsia"/>
          <w:b/>
        </w:rPr>
        <w:t xml:space="preserve">국내 </w:t>
      </w:r>
      <w:r w:rsidRPr="00746461">
        <w:rPr>
          <w:b/>
        </w:rPr>
        <w:t>기관투자자 중 증권회사와 투자회사의 거래강도 측도</w:t>
      </w:r>
    </w:p>
    <w:tbl>
      <w:tblPr>
        <w:tblStyle w:val="ac"/>
        <w:tblW w:w="5000" w:type="pct"/>
        <w:tblBorders>
          <w:left w:val="none" w:sz="0" w:space="0" w:color="auto"/>
          <w:right w:val="none" w:sz="0" w:space="0" w:color="auto"/>
          <w:insideV w:val="none" w:sz="0" w:space="0" w:color="auto"/>
        </w:tblBorders>
        <w:tblLook w:val="04A0"/>
      </w:tblPr>
      <w:tblGrid>
        <w:gridCol w:w="2619"/>
        <w:gridCol w:w="2824"/>
        <w:gridCol w:w="2824"/>
        <w:gridCol w:w="2824"/>
        <w:gridCol w:w="2822"/>
      </w:tblGrid>
      <w:tr w:rsidR="00746461" w:rsidRPr="00746461" w:rsidTr="00392C84">
        <w:tc>
          <w:tcPr>
            <w:tcW w:w="941" w:type="pct"/>
            <w:tcBorders>
              <w:bottom w:val="single" w:sz="4" w:space="0" w:color="auto"/>
            </w:tcBorders>
            <w:vAlign w:val="center"/>
          </w:tcPr>
          <w:p w:rsidR="00746461" w:rsidRPr="00746461" w:rsidRDefault="00746461" w:rsidP="00746461"/>
        </w:tc>
        <w:tc>
          <w:tcPr>
            <w:tcW w:w="2030" w:type="pct"/>
            <w:gridSpan w:val="2"/>
            <w:tcBorders>
              <w:bottom w:val="single" w:sz="4" w:space="0" w:color="auto"/>
            </w:tcBorders>
            <w:vAlign w:val="center"/>
          </w:tcPr>
          <w:p w:rsidR="00746461" w:rsidRPr="00746461" w:rsidRDefault="00746461" w:rsidP="00746461">
            <w:r w:rsidRPr="00746461">
              <w:t>증권회사</w:t>
            </w:r>
          </w:p>
        </w:tc>
        <w:tc>
          <w:tcPr>
            <w:tcW w:w="2029" w:type="pct"/>
            <w:gridSpan w:val="2"/>
            <w:tcBorders>
              <w:bottom w:val="single" w:sz="4" w:space="0" w:color="auto"/>
            </w:tcBorders>
          </w:tcPr>
          <w:p w:rsidR="00746461" w:rsidRPr="00746461" w:rsidRDefault="00746461" w:rsidP="00746461">
            <w:r w:rsidRPr="00746461">
              <w:t>투자회사</w:t>
            </w:r>
          </w:p>
        </w:tc>
      </w:tr>
      <w:tr w:rsidR="00746461" w:rsidRPr="00746461" w:rsidTr="00392C84">
        <w:tc>
          <w:tcPr>
            <w:tcW w:w="941" w:type="pct"/>
            <w:tcBorders>
              <w:bottom w:val="single" w:sz="4" w:space="0" w:color="auto"/>
            </w:tcBorders>
            <w:vAlign w:val="center"/>
          </w:tcPr>
          <w:p w:rsidR="00746461" w:rsidRPr="00746461" w:rsidRDefault="00746461" w:rsidP="00746461">
            <w:r w:rsidRPr="00746461">
              <w:t>Statistics</w:t>
            </w:r>
          </w:p>
        </w:tc>
        <w:tc>
          <w:tcPr>
            <w:tcW w:w="1015" w:type="pct"/>
            <w:tcBorders>
              <w:bottom w:val="single" w:sz="4" w:space="0" w:color="auto"/>
            </w:tcBorders>
            <w:vAlign w:val="center"/>
          </w:tcPr>
          <w:p w:rsidR="00746461" w:rsidRPr="00746461" w:rsidRDefault="00746461" w:rsidP="00746461">
            <w:r w:rsidRPr="00746461">
              <w:t>거래량(개) 기준</w:t>
            </w:r>
          </w:p>
        </w:tc>
        <w:tc>
          <w:tcPr>
            <w:tcW w:w="1015" w:type="pct"/>
            <w:tcBorders>
              <w:bottom w:val="single" w:sz="4" w:space="0" w:color="auto"/>
            </w:tcBorders>
          </w:tcPr>
          <w:p w:rsidR="00746461" w:rsidRPr="00746461" w:rsidRDefault="00746461" w:rsidP="00746461">
            <w:r w:rsidRPr="00746461">
              <w:t>거래대금(원) 기준</w:t>
            </w:r>
          </w:p>
        </w:tc>
        <w:tc>
          <w:tcPr>
            <w:tcW w:w="1015" w:type="pct"/>
            <w:tcBorders>
              <w:bottom w:val="single" w:sz="4" w:space="0" w:color="auto"/>
            </w:tcBorders>
            <w:vAlign w:val="center"/>
          </w:tcPr>
          <w:p w:rsidR="00746461" w:rsidRPr="00746461" w:rsidRDefault="00746461" w:rsidP="00746461">
            <w:r w:rsidRPr="00746461">
              <w:t>거래량(개) 기준</w:t>
            </w:r>
          </w:p>
        </w:tc>
        <w:tc>
          <w:tcPr>
            <w:tcW w:w="1014" w:type="pct"/>
            <w:tcBorders>
              <w:bottom w:val="single" w:sz="4" w:space="0" w:color="auto"/>
            </w:tcBorders>
          </w:tcPr>
          <w:p w:rsidR="00746461" w:rsidRPr="00746461" w:rsidRDefault="00746461" w:rsidP="00746461">
            <w:r w:rsidRPr="00746461">
              <w:t>거래대금(원) 기준</w:t>
            </w:r>
          </w:p>
        </w:tc>
      </w:tr>
      <w:tr w:rsidR="00746461" w:rsidRPr="00746461" w:rsidTr="00392C84">
        <w:tc>
          <w:tcPr>
            <w:tcW w:w="941" w:type="pct"/>
            <w:tcBorders>
              <w:bottom w:val="nil"/>
            </w:tcBorders>
            <w:vAlign w:val="center"/>
          </w:tcPr>
          <w:p w:rsidR="00746461" w:rsidRPr="00746461" w:rsidRDefault="00746461" w:rsidP="00746461">
            <w:r w:rsidRPr="00746461">
              <w:lastRenderedPageBreak/>
              <w:t>Mean</w:t>
            </w:r>
          </w:p>
        </w:tc>
        <w:tc>
          <w:tcPr>
            <w:tcW w:w="1015" w:type="pct"/>
            <w:tcBorders>
              <w:bottom w:val="nil"/>
            </w:tcBorders>
            <w:vAlign w:val="center"/>
          </w:tcPr>
          <w:p w:rsidR="00746461" w:rsidRPr="00746461" w:rsidRDefault="00746461" w:rsidP="00746461">
            <w:r w:rsidRPr="00746461">
              <w:t>-412,627.40</w:t>
            </w:r>
          </w:p>
        </w:tc>
        <w:tc>
          <w:tcPr>
            <w:tcW w:w="1015" w:type="pct"/>
            <w:tcBorders>
              <w:bottom w:val="nil"/>
            </w:tcBorders>
            <w:vAlign w:val="center"/>
          </w:tcPr>
          <w:p w:rsidR="00746461" w:rsidRPr="00746461" w:rsidRDefault="00746461" w:rsidP="00746461">
            <w:r w:rsidRPr="00746461">
              <w:t>4,182,086,359.30</w:t>
            </w:r>
          </w:p>
        </w:tc>
        <w:tc>
          <w:tcPr>
            <w:tcW w:w="1015" w:type="pct"/>
            <w:tcBorders>
              <w:bottom w:val="nil"/>
            </w:tcBorders>
            <w:vAlign w:val="center"/>
          </w:tcPr>
          <w:p w:rsidR="00746461" w:rsidRPr="00746461" w:rsidRDefault="00746461" w:rsidP="00746461">
            <w:r w:rsidRPr="00746461">
              <w:t>-37930.20</w:t>
            </w:r>
          </w:p>
        </w:tc>
        <w:tc>
          <w:tcPr>
            <w:tcW w:w="1014" w:type="pct"/>
            <w:tcBorders>
              <w:bottom w:val="nil"/>
            </w:tcBorders>
            <w:vAlign w:val="center"/>
          </w:tcPr>
          <w:p w:rsidR="00746461" w:rsidRPr="00746461" w:rsidRDefault="00746461" w:rsidP="00746461">
            <w:r w:rsidRPr="00746461">
              <w:t>-247866085.43</w:t>
            </w:r>
          </w:p>
        </w:tc>
      </w:tr>
      <w:tr w:rsidR="00746461" w:rsidRPr="00746461" w:rsidTr="00392C84">
        <w:tc>
          <w:tcPr>
            <w:tcW w:w="941" w:type="pct"/>
            <w:tcBorders>
              <w:top w:val="nil"/>
              <w:bottom w:val="nil"/>
            </w:tcBorders>
            <w:vAlign w:val="center"/>
          </w:tcPr>
          <w:p w:rsidR="00746461" w:rsidRPr="00746461" w:rsidRDefault="00746461" w:rsidP="00746461">
            <w:r w:rsidRPr="00746461">
              <w:t>S.D.</w:t>
            </w:r>
          </w:p>
        </w:tc>
        <w:tc>
          <w:tcPr>
            <w:tcW w:w="1015" w:type="pct"/>
            <w:tcBorders>
              <w:top w:val="nil"/>
              <w:bottom w:val="nil"/>
            </w:tcBorders>
            <w:vAlign w:val="center"/>
          </w:tcPr>
          <w:p w:rsidR="00746461" w:rsidRPr="00746461" w:rsidRDefault="00746461" w:rsidP="00746461">
            <w:r w:rsidRPr="00746461">
              <w:t>357,084.01</w:t>
            </w:r>
          </w:p>
        </w:tc>
        <w:tc>
          <w:tcPr>
            <w:tcW w:w="1015" w:type="pct"/>
            <w:tcBorders>
              <w:top w:val="nil"/>
              <w:bottom w:val="nil"/>
            </w:tcBorders>
            <w:vAlign w:val="center"/>
          </w:tcPr>
          <w:p w:rsidR="00746461" w:rsidRPr="00746461" w:rsidRDefault="00746461" w:rsidP="00746461">
            <w:r w:rsidRPr="00746461">
              <w:t>11,339,331,236.68</w:t>
            </w:r>
          </w:p>
        </w:tc>
        <w:tc>
          <w:tcPr>
            <w:tcW w:w="1015" w:type="pct"/>
            <w:tcBorders>
              <w:top w:val="nil"/>
              <w:bottom w:val="nil"/>
            </w:tcBorders>
            <w:vAlign w:val="center"/>
          </w:tcPr>
          <w:p w:rsidR="00746461" w:rsidRPr="00746461" w:rsidRDefault="00746461" w:rsidP="00746461">
            <w:r w:rsidRPr="00746461">
              <w:t>108763.21</w:t>
            </w:r>
          </w:p>
        </w:tc>
        <w:tc>
          <w:tcPr>
            <w:tcW w:w="1014" w:type="pct"/>
            <w:tcBorders>
              <w:top w:val="nil"/>
              <w:bottom w:val="nil"/>
            </w:tcBorders>
            <w:vAlign w:val="center"/>
          </w:tcPr>
          <w:p w:rsidR="00746461" w:rsidRPr="00746461" w:rsidRDefault="00746461" w:rsidP="00746461">
            <w:r w:rsidRPr="00746461">
              <w:t>3991618263.99</w:t>
            </w:r>
          </w:p>
        </w:tc>
      </w:tr>
      <w:tr w:rsidR="00746461" w:rsidRPr="00746461" w:rsidTr="00392C84">
        <w:tc>
          <w:tcPr>
            <w:tcW w:w="941" w:type="pct"/>
            <w:tcBorders>
              <w:top w:val="nil"/>
              <w:bottom w:val="nil"/>
            </w:tcBorders>
            <w:vAlign w:val="center"/>
          </w:tcPr>
          <w:p w:rsidR="00746461" w:rsidRPr="00746461" w:rsidRDefault="00746461" w:rsidP="00746461">
            <w:proofErr w:type="spellStart"/>
            <w:r w:rsidRPr="00746461">
              <w:t>Skewness</w:t>
            </w:r>
            <w:proofErr w:type="spellEnd"/>
          </w:p>
        </w:tc>
        <w:tc>
          <w:tcPr>
            <w:tcW w:w="1015" w:type="pct"/>
            <w:tcBorders>
              <w:top w:val="nil"/>
              <w:bottom w:val="nil"/>
            </w:tcBorders>
            <w:vAlign w:val="center"/>
          </w:tcPr>
          <w:p w:rsidR="00746461" w:rsidRPr="00746461" w:rsidRDefault="00746461" w:rsidP="00746461">
            <w:r w:rsidRPr="00746461">
              <w:t>-1.17</w:t>
            </w:r>
          </w:p>
        </w:tc>
        <w:tc>
          <w:tcPr>
            <w:tcW w:w="1015" w:type="pct"/>
            <w:tcBorders>
              <w:top w:val="nil"/>
              <w:bottom w:val="nil"/>
            </w:tcBorders>
            <w:vAlign w:val="center"/>
          </w:tcPr>
          <w:p w:rsidR="00746461" w:rsidRPr="00746461" w:rsidRDefault="00746461" w:rsidP="00746461">
            <w:r w:rsidRPr="00746461">
              <w:t>-0.69</w:t>
            </w:r>
          </w:p>
        </w:tc>
        <w:tc>
          <w:tcPr>
            <w:tcW w:w="1015" w:type="pct"/>
            <w:tcBorders>
              <w:top w:val="nil"/>
              <w:bottom w:val="nil"/>
            </w:tcBorders>
            <w:vAlign w:val="center"/>
          </w:tcPr>
          <w:p w:rsidR="00746461" w:rsidRPr="00746461" w:rsidRDefault="00746461" w:rsidP="00746461">
            <w:r w:rsidRPr="00746461">
              <w:t>-3.87</w:t>
            </w:r>
          </w:p>
        </w:tc>
        <w:tc>
          <w:tcPr>
            <w:tcW w:w="1014" w:type="pct"/>
            <w:tcBorders>
              <w:top w:val="nil"/>
              <w:bottom w:val="nil"/>
            </w:tcBorders>
            <w:vAlign w:val="center"/>
          </w:tcPr>
          <w:p w:rsidR="00746461" w:rsidRPr="00746461" w:rsidRDefault="00746461" w:rsidP="00746461">
            <w:r w:rsidRPr="00746461">
              <w:t>5.88</w:t>
            </w:r>
          </w:p>
        </w:tc>
      </w:tr>
      <w:tr w:rsidR="00746461" w:rsidRPr="00746461" w:rsidTr="00392C84">
        <w:tc>
          <w:tcPr>
            <w:tcW w:w="941" w:type="pct"/>
            <w:tcBorders>
              <w:top w:val="nil"/>
              <w:bottom w:val="nil"/>
            </w:tcBorders>
            <w:vAlign w:val="center"/>
          </w:tcPr>
          <w:p w:rsidR="00746461" w:rsidRPr="00746461" w:rsidRDefault="00746461" w:rsidP="00746461">
            <w:r w:rsidRPr="00746461">
              <w:t>Kurtosis</w:t>
            </w:r>
          </w:p>
        </w:tc>
        <w:tc>
          <w:tcPr>
            <w:tcW w:w="1015" w:type="pct"/>
            <w:tcBorders>
              <w:top w:val="nil"/>
              <w:bottom w:val="nil"/>
            </w:tcBorders>
            <w:vAlign w:val="center"/>
          </w:tcPr>
          <w:p w:rsidR="00746461" w:rsidRPr="00746461" w:rsidRDefault="00746461" w:rsidP="00746461">
            <w:r w:rsidRPr="00746461">
              <w:t>3.65</w:t>
            </w:r>
          </w:p>
        </w:tc>
        <w:tc>
          <w:tcPr>
            <w:tcW w:w="1015" w:type="pct"/>
            <w:tcBorders>
              <w:top w:val="nil"/>
              <w:bottom w:val="nil"/>
            </w:tcBorders>
            <w:vAlign w:val="center"/>
          </w:tcPr>
          <w:p w:rsidR="00746461" w:rsidRPr="00746461" w:rsidRDefault="00746461" w:rsidP="00746461">
            <w:r w:rsidRPr="00746461">
              <w:t>16.78</w:t>
            </w:r>
          </w:p>
        </w:tc>
        <w:tc>
          <w:tcPr>
            <w:tcW w:w="1015" w:type="pct"/>
            <w:tcBorders>
              <w:top w:val="nil"/>
              <w:bottom w:val="nil"/>
            </w:tcBorders>
            <w:vAlign w:val="center"/>
          </w:tcPr>
          <w:p w:rsidR="00746461" w:rsidRPr="00746461" w:rsidRDefault="00746461" w:rsidP="00746461">
            <w:r w:rsidRPr="00746461">
              <w:t>29.13</w:t>
            </w:r>
          </w:p>
        </w:tc>
        <w:tc>
          <w:tcPr>
            <w:tcW w:w="1014" w:type="pct"/>
            <w:tcBorders>
              <w:top w:val="nil"/>
              <w:bottom w:val="nil"/>
            </w:tcBorders>
            <w:vAlign w:val="center"/>
          </w:tcPr>
          <w:p w:rsidR="00746461" w:rsidRPr="00746461" w:rsidRDefault="00746461" w:rsidP="00746461">
            <w:r w:rsidRPr="00746461">
              <w:t>75.34</w:t>
            </w:r>
          </w:p>
        </w:tc>
      </w:tr>
      <w:tr w:rsidR="00746461" w:rsidRPr="00746461" w:rsidTr="00392C84">
        <w:tc>
          <w:tcPr>
            <w:tcW w:w="941" w:type="pct"/>
            <w:tcBorders>
              <w:top w:val="nil"/>
              <w:bottom w:val="nil"/>
            </w:tcBorders>
            <w:vAlign w:val="center"/>
          </w:tcPr>
          <w:p w:rsidR="00746461" w:rsidRPr="00746461" w:rsidRDefault="00746461" w:rsidP="00746461">
            <w:r w:rsidRPr="00746461">
              <w:t>Max</w:t>
            </w:r>
          </w:p>
        </w:tc>
        <w:tc>
          <w:tcPr>
            <w:tcW w:w="1015" w:type="pct"/>
            <w:tcBorders>
              <w:top w:val="nil"/>
              <w:bottom w:val="nil"/>
            </w:tcBorders>
            <w:vAlign w:val="center"/>
          </w:tcPr>
          <w:p w:rsidR="00746461" w:rsidRPr="00746461" w:rsidRDefault="00746461" w:rsidP="00746461">
            <w:r w:rsidRPr="00746461">
              <w:t>61,469</w:t>
            </w:r>
          </w:p>
        </w:tc>
        <w:tc>
          <w:tcPr>
            <w:tcW w:w="1015" w:type="pct"/>
            <w:tcBorders>
              <w:top w:val="nil"/>
              <w:bottom w:val="nil"/>
            </w:tcBorders>
            <w:vAlign w:val="center"/>
          </w:tcPr>
          <w:p w:rsidR="00746461" w:rsidRPr="00746461" w:rsidRDefault="00746461" w:rsidP="00746461">
            <w:r w:rsidRPr="00746461">
              <w:t>56,363,551,000</w:t>
            </w:r>
          </w:p>
        </w:tc>
        <w:tc>
          <w:tcPr>
            <w:tcW w:w="1015" w:type="pct"/>
            <w:tcBorders>
              <w:top w:val="nil"/>
              <w:bottom w:val="nil"/>
            </w:tcBorders>
            <w:vAlign w:val="center"/>
          </w:tcPr>
          <w:p w:rsidR="00746461" w:rsidRPr="00746461" w:rsidRDefault="00746461" w:rsidP="00746461">
            <w:r w:rsidRPr="00746461">
              <w:t>255874</w:t>
            </w:r>
          </w:p>
        </w:tc>
        <w:tc>
          <w:tcPr>
            <w:tcW w:w="1014" w:type="pct"/>
            <w:tcBorders>
              <w:top w:val="nil"/>
              <w:bottom w:val="nil"/>
            </w:tcBorders>
            <w:vAlign w:val="center"/>
          </w:tcPr>
          <w:p w:rsidR="00746461" w:rsidRPr="00746461" w:rsidRDefault="00746461" w:rsidP="00746461">
            <w:r w:rsidRPr="00746461">
              <w:t>51679163000</w:t>
            </w:r>
          </w:p>
        </w:tc>
      </w:tr>
      <w:tr w:rsidR="00746461" w:rsidRPr="00746461" w:rsidTr="00392C84">
        <w:tc>
          <w:tcPr>
            <w:tcW w:w="941" w:type="pct"/>
            <w:tcBorders>
              <w:top w:val="nil"/>
              <w:bottom w:val="nil"/>
            </w:tcBorders>
            <w:vAlign w:val="center"/>
          </w:tcPr>
          <w:p w:rsidR="00746461" w:rsidRPr="00746461" w:rsidRDefault="00746461" w:rsidP="00746461">
            <w:r w:rsidRPr="00746461">
              <w:t>Min</w:t>
            </w:r>
          </w:p>
        </w:tc>
        <w:tc>
          <w:tcPr>
            <w:tcW w:w="1015" w:type="pct"/>
            <w:tcBorders>
              <w:top w:val="nil"/>
              <w:bottom w:val="nil"/>
            </w:tcBorders>
            <w:vAlign w:val="center"/>
          </w:tcPr>
          <w:p w:rsidR="00746461" w:rsidRPr="00746461" w:rsidRDefault="00746461" w:rsidP="00746461">
            <w:r w:rsidRPr="00746461">
              <w:t>-1,586,846</w:t>
            </w:r>
          </w:p>
        </w:tc>
        <w:tc>
          <w:tcPr>
            <w:tcW w:w="1015" w:type="pct"/>
            <w:tcBorders>
              <w:top w:val="nil"/>
              <w:bottom w:val="nil"/>
            </w:tcBorders>
            <w:vAlign w:val="center"/>
          </w:tcPr>
          <w:p w:rsidR="00746461" w:rsidRPr="00746461" w:rsidRDefault="00746461" w:rsidP="00746461">
            <w:r w:rsidRPr="00746461">
              <w:t>-89,785,679,000</w:t>
            </w:r>
          </w:p>
        </w:tc>
        <w:tc>
          <w:tcPr>
            <w:tcW w:w="1015" w:type="pct"/>
            <w:tcBorders>
              <w:top w:val="nil"/>
              <w:bottom w:val="nil"/>
            </w:tcBorders>
            <w:vAlign w:val="center"/>
          </w:tcPr>
          <w:p w:rsidR="00746461" w:rsidRPr="00746461" w:rsidRDefault="00746461" w:rsidP="00746461">
            <w:r w:rsidRPr="00746461">
              <w:t>-986592</w:t>
            </w:r>
          </w:p>
        </w:tc>
        <w:tc>
          <w:tcPr>
            <w:tcW w:w="1014" w:type="pct"/>
            <w:tcBorders>
              <w:top w:val="nil"/>
              <w:bottom w:val="nil"/>
            </w:tcBorders>
            <w:vAlign w:val="center"/>
          </w:tcPr>
          <w:p w:rsidR="00746461" w:rsidRPr="00746461" w:rsidRDefault="00746461" w:rsidP="00746461">
            <w:r w:rsidRPr="00746461">
              <w:t>-11617242000</w:t>
            </w:r>
          </w:p>
        </w:tc>
      </w:tr>
      <w:tr w:rsidR="00746461" w:rsidRPr="00746461" w:rsidTr="00392C84">
        <w:tc>
          <w:tcPr>
            <w:tcW w:w="941" w:type="pct"/>
            <w:tcBorders>
              <w:top w:val="nil"/>
              <w:bottom w:val="nil"/>
            </w:tcBorders>
            <w:vAlign w:val="center"/>
          </w:tcPr>
          <w:p w:rsidR="00746461" w:rsidRPr="00746461" w:rsidRDefault="00746461" w:rsidP="00746461">
            <w:r w:rsidRPr="00746461">
              <w:t>Serial corr.</w:t>
            </w:r>
          </w:p>
        </w:tc>
        <w:tc>
          <w:tcPr>
            <w:tcW w:w="1015" w:type="pct"/>
            <w:tcBorders>
              <w:top w:val="nil"/>
              <w:bottom w:val="nil"/>
            </w:tcBorders>
            <w:vAlign w:val="center"/>
          </w:tcPr>
          <w:p w:rsidR="00746461" w:rsidRPr="00746461" w:rsidRDefault="00746461" w:rsidP="00746461">
            <w:r w:rsidRPr="00746461">
              <w:t>-0.0944</w:t>
            </w:r>
          </w:p>
        </w:tc>
        <w:tc>
          <w:tcPr>
            <w:tcW w:w="1015" w:type="pct"/>
            <w:tcBorders>
              <w:top w:val="nil"/>
              <w:bottom w:val="nil"/>
            </w:tcBorders>
            <w:vAlign w:val="center"/>
          </w:tcPr>
          <w:p w:rsidR="00746461" w:rsidRPr="00746461" w:rsidRDefault="00746461" w:rsidP="00746461">
            <w:r w:rsidRPr="00746461">
              <w:t>0.4339</w:t>
            </w:r>
          </w:p>
        </w:tc>
        <w:tc>
          <w:tcPr>
            <w:tcW w:w="1015" w:type="pct"/>
            <w:tcBorders>
              <w:top w:val="nil"/>
              <w:bottom w:val="nil"/>
            </w:tcBorders>
            <w:vAlign w:val="center"/>
          </w:tcPr>
          <w:p w:rsidR="00746461" w:rsidRPr="00746461" w:rsidRDefault="00746461" w:rsidP="00746461">
            <w:r w:rsidRPr="00746461">
              <w:t>-0.1350</w:t>
            </w:r>
          </w:p>
        </w:tc>
        <w:tc>
          <w:tcPr>
            <w:tcW w:w="1014" w:type="pct"/>
            <w:tcBorders>
              <w:top w:val="nil"/>
              <w:bottom w:val="nil"/>
            </w:tcBorders>
            <w:vAlign w:val="center"/>
          </w:tcPr>
          <w:p w:rsidR="00746461" w:rsidRPr="00746461" w:rsidRDefault="00746461" w:rsidP="00746461">
            <w:r w:rsidRPr="00746461">
              <w:t>-0.0984</w:t>
            </w:r>
          </w:p>
        </w:tc>
      </w:tr>
      <w:tr w:rsidR="00746461" w:rsidRPr="00746461" w:rsidTr="00392C84">
        <w:tc>
          <w:tcPr>
            <w:tcW w:w="941" w:type="pct"/>
            <w:tcBorders>
              <w:top w:val="nil"/>
              <w:bottom w:val="single" w:sz="4" w:space="0" w:color="auto"/>
            </w:tcBorders>
            <w:vAlign w:val="center"/>
          </w:tcPr>
          <w:p w:rsidR="00746461" w:rsidRPr="00746461" w:rsidRDefault="00746461" w:rsidP="00746461">
            <w:proofErr w:type="spellStart"/>
            <w:r w:rsidRPr="00746461">
              <w:t>Jarque-Bera</w:t>
            </w:r>
            <w:proofErr w:type="spellEnd"/>
            <w:r w:rsidRPr="00746461">
              <w:t xml:space="preserve"> statistics</w:t>
            </w:r>
          </w:p>
        </w:tc>
        <w:tc>
          <w:tcPr>
            <w:tcW w:w="1015" w:type="pct"/>
            <w:tcBorders>
              <w:top w:val="nil"/>
              <w:bottom w:val="single" w:sz="4" w:space="0" w:color="auto"/>
            </w:tcBorders>
            <w:vAlign w:val="center"/>
          </w:tcPr>
          <w:p w:rsidR="00746461" w:rsidRPr="00746461" w:rsidRDefault="00746461" w:rsidP="00746461">
            <w:r w:rsidRPr="00746461">
              <w:t>98.21*** (0.001)</w:t>
            </w:r>
          </w:p>
        </w:tc>
        <w:tc>
          <w:tcPr>
            <w:tcW w:w="1015" w:type="pct"/>
            <w:tcBorders>
              <w:top w:val="nil"/>
              <w:bottom w:val="single" w:sz="4" w:space="0" w:color="auto"/>
            </w:tcBorders>
          </w:tcPr>
          <w:p w:rsidR="00746461" w:rsidRPr="00746461" w:rsidRDefault="00746461" w:rsidP="00746461">
            <w:r w:rsidRPr="00746461">
              <w:t>3178.41*** (0.001)</w:t>
            </w:r>
          </w:p>
        </w:tc>
        <w:tc>
          <w:tcPr>
            <w:tcW w:w="1015" w:type="pct"/>
            <w:tcBorders>
              <w:top w:val="nil"/>
              <w:bottom w:val="single" w:sz="4" w:space="0" w:color="auto"/>
            </w:tcBorders>
            <w:vAlign w:val="center"/>
          </w:tcPr>
          <w:p w:rsidR="00746461" w:rsidRPr="00746461" w:rsidRDefault="00746461" w:rsidP="00746461">
            <w:r w:rsidRPr="00746461">
              <w:t>12315.28*** (0.001)</w:t>
            </w:r>
          </w:p>
        </w:tc>
        <w:tc>
          <w:tcPr>
            <w:tcW w:w="1014" w:type="pct"/>
            <w:tcBorders>
              <w:top w:val="nil"/>
              <w:bottom w:val="single" w:sz="4" w:space="0" w:color="auto"/>
            </w:tcBorders>
          </w:tcPr>
          <w:p w:rsidR="00746461" w:rsidRPr="00746461" w:rsidRDefault="00746461" w:rsidP="00746461">
            <w:r w:rsidRPr="00746461">
              <w:t>89073.32*** (0.001)</w:t>
            </w:r>
          </w:p>
        </w:tc>
      </w:tr>
      <w:tr w:rsidR="00746461" w:rsidRPr="00746461" w:rsidTr="00392C84">
        <w:tc>
          <w:tcPr>
            <w:tcW w:w="941" w:type="pct"/>
            <w:tcBorders>
              <w:top w:val="single" w:sz="4" w:space="0" w:color="auto"/>
              <w:bottom w:val="single" w:sz="4" w:space="0" w:color="auto"/>
            </w:tcBorders>
            <w:vAlign w:val="center"/>
          </w:tcPr>
          <w:p w:rsidR="00746461" w:rsidRPr="00746461" w:rsidRDefault="00746461" w:rsidP="00746461">
            <w:pPr>
              <w:rPr>
                <w:b/>
              </w:rPr>
            </w:pPr>
            <w:r w:rsidRPr="00746461">
              <w:rPr>
                <w:b/>
              </w:rPr>
              <w:t>Test statistics</w:t>
            </w:r>
          </w:p>
        </w:tc>
        <w:tc>
          <w:tcPr>
            <w:tcW w:w="1015" w:type="pct"/>
            <w:tcBorders>
              <w:top w:val="single" w:sz="4" w:space="0" w:color="auto"/>
              <w:bottom w:val="single" w:sz="4" w:space="0" w:color="auto"/>
            </w:tcBorders>
            <w:vAlign w:val="center"/>
          </w:tcPr>
          <w:p w:rsidR="00746461" w:rsidRPr="00746461" w:rsidRDefault="00746461" w:rsidP="00746461"/>
        </w:tc>
        <w:tc>
          <w:tcPr>
            <w:tcW w:w="1015" w:type="pct"/>
            <w:tcBorders>
              <w:top w:val="single" w:sz="4" w:space="0" w:color="auto"/>
              <w:bottom w:val="single" w:sz="4" w:space="0" w:color="auto"/>
            </w:tcBorders>
            <w:vAlign w:val="center"/>
          </w:tcPr>
          <w:p w:rsidR="00746461" w:rsidRPr="00746461" w:rsidRDefault="00746461" w:rsidP="00746461"/>
        </w:tc>
        <w:tc>
          <w:tcPr>
            <w:tcW w:w="1015" w:type="pct"/>
            <w:tcBorders>
              <w:top w:val="single" w:sz="4" w:space="0" w:color="auto"/>
              <w:bottom w:val="single" w:sz="4" w:space="0" w:color="auto"/>
            </w:tcBorders>
            <w:vAlign w:val="center"/>
          </w:tcPr>
          <w:p w:rsidR="00746461" w:rsidRPr="00746461" w:rsidRDefault="00746461" w:rsidP="00746461"/>
        </w:tc>
        <w:tc>
          <w:tcPr>
            <w:tcW w:w="1014" w:type="pct"/>
            <w:tcBorders>
              <w:top w:val="single" w:sz="4" w:space="0" w:color="auto"/>
              <w:bottom w:val="single" w:sz="4" w:space="0" w:color="auto"/>
            </w:tcBorders>
            <w:vAlign w:val="center"/>
          </w:tcPr>
          <w:p w:rsidR="00746461" w:rsidRPr="00746461" w:rsidRDefault="00746461" w:rsidP="00746461"/>
        </w:tc>
      </w:tr>
      <w:tr w:rsidR="00746461" w:rsidRPr="00746461" w:rsidTr="00392C84">
        <w:tc>
          <w:tcPr>
            <w:tcW w:w="941" w:type="pct"/>
            <w:tcBorders>
              <w:top w:val="single" w:sz="4" w:space="0" w:color="auto"/>
              <w:bottom w:val="nil"/>
            </w:tcBorders>
            <w:vAlign w:val="center"/>
          </w:tcPr>
          <w:p w:rsidR="00746461" w:rsidRPr="00746461" w:rsidRDefault="00746461" w:rsidP="00746461">
            <w:r w:rsidRPr="00746461">
              <w:t>H0: Unit root</w:t>
            </w:r>
          </w:p>
        </w:tc>
        <w:tc>
          <w:tcPr>
            <w:tcW w:w="1015" w:type="pct"/>
            <w:tcBorders>
              <w:top w:val="single" w:sz="4" w:space="0" w:color="auto"/>
              <w:bottom w:val="nil"/>
            </w:tcBorders>
            <w:vAlign w:val="center"/>
          </w:tcPr>
          <w:p w:rsidR="00746461" w:rsidRPr="00746461" w:rsidRDefault="00746461" w:rsidP="00746461">
            <w:r w:rsidRPr="00746461">
              <w:t>-21.8344***</w:t>
            </w:r>
          </w:p>
        </w:tc>
        <w:tc>
          <w:tcPr>
            <w:tcW w:w="1015" w:type="pct"/>
            <w:tcBorders>
              <w:top w:val="single" w:sz="4" w:space="0" w:color="auto"/>
              <w:bottom w:val="nil"/>
            </w:tcBorders>
            <w:vAlign w:val="center"/>
          </w:tcPr>
          <w:p w:rsidR="00746461" w:rsidRPr="00746461" w:rsidRDefault="00746461" w:rsidP="00746461">
            <w:r w:rsidRPr="00746461">
              <w:t>-12.4844***</w:t>
            </w:r>
          </w:p>
        </w:tc>
        <w:tc>
          <w:tcPr>
            <w:tcW w:w="1015" w:type="pct"/>
            <w:tcBorders>
              <w:top w:val="single" w:sz="4" w:space="0" w:color="auto"/>
              <w:bottom w:val="nil"/>
            </w:tcBorders>
            <w:vAlign w:val="center"/>
          </w:tcPr>
          <w:p w:rsidR="00746461" w:rsidRPr="00746461" w:rsidRDefault="00746461" w:rsidP="00746461">
            <w:r w:rsidRPr="00746461">
              <w:t>-22.8408***</w:t>
            </w:r>
          </w:p>
        </w:tc>
        <w:tc>
          <w:tcPr>
            <w:tcW w:w="1014" w:type="pct"/>
            <w:tcBorders>
              <w:top w:val="single" w:sz="4" w:space="0" w:color="auto"/>
              <w:bottom w:val="nil"/>
            </w:tcBorders>
            <w:vAlign w:val="center"/>
          </w:tcPr>
          <w:p w:rsidR="00746461" w:rsidRPr="00746461" w:rsidRDefault="00746461" w:rsidP="00746461">
            <w:r w:rsidRPr="00746461">
              <w:t>-21.9665***</w:t>
            </w:r>
          </w:p>
        </w:tc>
      </w:tr>
      <w:tr w:rsidR="00746461" w:rsidRPr="00746461" w:rsidTr="00392C84">
        <w:tc>
          <w:tcPr>
            <w:tcW w:w="941" w:type="pct"/>
            <w:tcBorders>
              <w:top w:val="nil"/>
            </w:tcBorders>
            <w:vAlign w:val="center"/>
          </w:tcPr>
          <w:p w:rsidR="00746461" w:rsidRPr="00746461" w:rsidRDefault="00746461" w:rsidP="00746461">
            <w:r w:rsidRPr="00746461">
              <w:t>H0: Stationary</w:t>
            </w:r>
          </w:p>
        </w:tc>
        <w:tc>
          <w:tcPr>
            <w:tcW w:w="1015" w:type="pct"/>
            <w:tcBorders>
              <w:top w:val="nil"/>
            </w:tcBorders>
            <w:vAlign w:val="center"/>
          </w:tcPr>
          <w:p w:rsidR="00746461" w:rsidRPr="00746461" w:rsidRDefault="00746461" w:rsidP="00746461">
            <w:r w:rsidRPr="00746461">
              <w:t>0.1364</w:t>
            </w:r>
          </w:p>
        </w:tc>
        <w:tc>
          <w:tcPr>
            <w:tcW w:w="1015" w:type="pct"/>
            <w:tcBorders>
              <w:top w:val="nil"/>
            </w:tcBorders>
            <w:vAlign w:val="center"/>
          </w:tcPr>
          <w:p w:rsidR="00746461" w:rsidRPr="00746461" w:rsidRDefault="00746461" w:rsidP="00746461">
            <w:r w:rsidRPr="00746461">
              <w:t>0.8930</w:t>
            </w:r>
          </w:p>
        </w:tc>
        <w:tc>
          <w:tcPr>
            <w:tcW w:w="1015" w:type="pct"/>
            <w:tcBorders>
              <w:top w:val="nil"/>
            </w:tcBorders>
            <w:vAlign w:val="center"/>
          </w:tcPr>
          <w:p w:rsidR="00746461" w:rsidRPr="00746461" w:rsidRDefault="00746461" w:rsidP="00746461">
            <w:r w:rsidRPr="00746461">
              <w:t>0.3388</w:t>
            </w:r>
          </w:p>
        </w:tc>
        <w:tc>
          <w:tcPr>
            <w:tcW w:w="1014" w:type="pct"/>
            <w:tcBorders>
              <w:top w:val="nil"/>
            </w:tcBorders>
            <w:vAlign w:val="center"/>
          </w:tcPr>
          <w:p w:rsidR="00746461" w:rsidRPr="00746461" w:rsidRDefault="00746461" w:rsidP="00746461">
            <w:r w:rsidRPr="00746461">
              <w:t>0.0251</w:t>
            </w:r>
          </w:p>
        </w:tc>
      </w:tr>
    </w:tbl>
    <w:p w:rsidR="00746461" w:rsidRPr="00746461" w:rsidRDefault="00746461" w:rsidP="00746461"/>
    <w:p w:rsidR="00746461" w:rsidRPr="00746461" w:rsidRDefault="00746461" w:rsidP="00746461"/>
    <w:p w:rsidR="00746461" w:rsidRPr="00746461" w:rsidRDefault="00746461" w:rsidP="00CF6042">
      <w:pPr>
        <w:spacing w:line="276" w:lineRule="auto"/>
      </w:pPr>
    </w:p>
    <w:p w:rsidR="00746461" w:rsidRPr="00746461" w:rsidRDefault="00746461" w:rsidP="00CF6042">
      <w:pPr>
        <w:spacing w:line="276" w:lineRule="auto"/>
        <w:sectPr w:rsidR="00746461" w:rsidRPr="00746461" w:rsidSect="00392C84">
          <w:pgSz w:w="16838" w:h="11906" w:orient="landscape"/>
          <w:pgMar w:top="1440" w:right="1701" w:bottom="1440" w:left="1440" w:header="851" w:footer="992" w:gutter="0"/>
          <w:cols w:space="425"/>
          <w:docGrid w:linePitch="360"/>
        </w:sectPr>
      </w:pPr>
    </w:p>
    <w:p w:rsidR="002C7D06" w:rsidRPr="004C0A5F" w:rsidRDefault="002C7D06" w:rsidP="00CF6042">
      <w:pPr>
        <w:pStyle w:val="a9"/>
        <w:numPr>
          <w:ilvl w:val="0"/>
          <w:numId w:val="1"/>
        </w:numPr>
        <w:spacing w:line="276" w:lineRule="auto"/>
        <w:ind w:leftChars="0"/>
        <w:rPr>
          <w:b/>
          <w:sz w:val="28"/>
        </w:rPr>
      </w:pPr>
      <w:r w:rsidRPr="004C0A5F">
        <w:rPr>
          <w:rFonts w:hint="eastAsia"/>
          <w:b/>
          <w:sz w:val="28"/>
        </w:rPr>
        <w:lastRenderedPageBreak/>
        <w:t>연구결과 및 해석</w:t>
      </w:r>
    </w:p>
    <w:p w:rsidR="00D23F33" w:rsidRPr="00D23F33" w:rsidRDefault="00D23F33" w:rsidP="00A04272">
      <w:pPr>
        <w:spacing w:line="276" w:lineRule="auto"/>
        <w:ind w:firstLineChars="100" w:firstLine="200"/>
      </w:pPr>
      <w:r w:rsidRPr="00D23F33">
        <w:t>본 장은 앞에서 구성한 각 거래자 그룹의 거래강도 측도를 이용해 각 거래자</w:t>
      </w:r>
      <w:r w:rsidR="00A04272">
        <w:rPr>
          <w:rFonts w:hint="eastAsia"/>
        </w:rPr>
        <w:t>의 거래강도가 변동성과 어떤 관련성이 있는지 검증한다. 전체 투자자는 개인투자자와 기관투자자로 나누고, 기관투자자는 국내기관투자자와 외국인기관투자자로 나눈다. 이후 추가분석에서는 국내기관투자자도 특성에 따라 증권회사와 투자회사로 분류하여 분석한다.</w:t>
      </w:r>
      <w:r w:rsidRPr="00D23F33">
        <w:rPr>
          <w:vertAlign w:val="superscript"/>
        </w:rPr>
        <w:footnoteReference w:id="8"/>
      </w:r>
      <w:r w:rsidRPr="00D23F33">
        <w:t xml:space="preserve"> </w:t>
      </w:r>
    </w:p>
    <w:p w:rsidR="00D23F33" w:rsidRPr="00D23F33" w:rsidRDefault="00D23F33" w:rsidP="00CF6042">
      <w:pPr>
        <w:spacing w:line="276" w:lineRule="auto"/>
      </w:pPr>
    </w:p>
    <w:p w:rsidR="002C7D06" w:rsidRPr="004C0A5F" w:rsidRDefault="002C7D06" w:rsidP="00CF6042">
      <w:pPr>
        <w:spacing w:line="276" w:lineRule="auto"/>
        <w:rPr>
          <w:b/>
          <w:sz w:val="24"/>
        </w:rPr>
      </w:pPr>
      <w:r w:rsidRPr="004C0A5F">
        <w:rPr>
          <w:rFonts w:hint="eastAsia"/>
          <w:b/>
          <w:sz w:val="24"/>
        </w:rPr>
        <w:t>4.1 기관</w:t>
      </w:r>
      <w:r w:rsidRPr="004C0A5F">
        <w:rPr>
          <w:rFonts w:asciiTheme="minorEastAsia" w:hAnsiTheme="minorEastAsia" w:hint="eastAsia"/>
          <w:b/>
          <w:sz w:val="24"/>
        </w:rPr>
        <w:t>·</w:t>
      </w:r>
      <w:r w:rsidRPr="004C0A5F">
        <w:rPr>
          <w:rFonts w:hint="eastAsia"/>
          <w:b/>
          <w:sz w:val="24"/>
        </w:rPr>
        <w:t>외국인 투자자의 거래행태와 동일시점 내재변동성의 변화</w:t>
      </w:r>
    </w:p>
    <w:p w:rsidR="0023579F" w:rsidRDefault="00290146" w:rsidP="005D3E2B">
      <w:pPr>
        <w:spacing w:line="276" w:lineRule="auto"/>
        <w:ind w:firstLineChars="100" w:firstLine="200"/>
      </w:pPr>
      <w:r w:rsidRPr="00290146">
        <w:t xml:space="preserve">Stein(1989)에 의하면 내재변동성은 AR(1) 프로세스를 따르고 단기적으로 평균회귀현상을 </w:t>
      </w:r>
      <w:r w:rsidR="005D3E2B">
        <w:rPr>
          <w:rFonts w:hint="eastAsia"/>
        </w:rPr>
        <w:t xml:space="preserve">보이는 것으로 알려졌다. 또한 변동성은 한번 상승하면 일정기간 동안 높은 상태로 유지하고 </w:t>
      </w:r>
      <w:r w:rsidR="0023579F">
        <w:rPr>
          <w:rFonts w:hint="eastAsia"/>
        </w:rPr>
        <w:t xml:space="preserve">하락하면 일정기간 낮은 상태로 유지되는 특성이 있다. 이를 변동성 군집현상(volatility clustering)이라고 부른다. </w:t>
      </w:r>
      <w:proofErr w:type="spellStart"/>
      <w:r w:rsidR="0023579F">
        <w:rPr>
          <w:rFonts w:hint="eastAsia"/>
        </w:rPr>
        <w:t>시계열</w:t>
      </w:r>
      <w:proofErr w:type="spellEnd"/>
      <w:r w:rsidR="0023579F">
        <w:rPr>
          <w:rFonts w:hint="eastAsia"/>
        </w:rPr>
        <w:t xml:space="preserve"> 모형에서 널리 사용되고 있는 Angle의 ARCH 모형과 </w:t>
      </w:r>
      <w:proofErr w:type="spellStart"/>
      <w:r w:rsidR="0023579F">
        <w:rPr>
          <w:rFonts w:hint="eastAsia"/>
        </w:rPr>
        <w:t>Bollerslev</w:t>
      </w:r>
      <w:proofErr w:type="spellEnd"/>
      <w:r w:rsidR="0023579F">
        <w:rPr>
          <w:rFonts w:hint="eastAsia"/>
        </w:rPr>
        <w:t xml:space="preserve">의 GARCH 모형, 그리고 옵션가격평가모형에서 활발하게 사용되는 추계적 변동성 모형(stochastic volatility models)은 위와 같은 변동성의 특성을 반영하기 위해 고안된 모형이다. </w:t>
      </w:r>
    </w:p>
    <w:p w:rsidR="00392C84" w:rsidRPr="00290146" w:rsidRDefault="0023579F" w:rsidP="0023579F">
      <w:pPr>
        <w:spacing w:line="276" w:lineRule="auto"/>
        <w:ind w:firstLineChars="100" w:firstLine="200"/>
      </w:pPr>
      <w:r>
        <w:rPr>
          <w:rFonts w:hint="eastAsia"/>
        </w:rPr>
        <w:t xml:space="preserve">본 연구에서는 변동성의 평균회귀현상, 군집현상을 반영하는 동시에 각 기관투자자의 거래강도와 변동성의 특성을 분석하기 위해 아래의 회귀모형을 도입하였다. 본 회귀모형은 기관투자자와 변동성에 대한 동일시점 관련성에 대한 분석이며, 인과관계에 대한 분석을 직접적으로 다루지 않는다. 또한 선형회귀분석으로 거래강도에 대한 변동성 변화의 </w:t>
      </w:r>
      <w:proofErr w:type="spellStart"/>
      <w:r>
        <w:rPr>
          <w:rFonts w:hint="eastAsia"/>
        </w:rPr>
        <w:t>비대칭성을</w:t>
      </w:r>
      <w:proofErr w:type="spellEnd"/>
      <w:r>
        <w:rPr>
          <w:rFonts w:hint="eastAsia"/>
        </w:rPr>
        <w:t xml:space="preserve"> 확인할 수 없다. 이러한 분석에 대한 함의는 </w:t>
      </w:r>
      <w:proofErr w:type="spellStart"/>
      <w:r>
        <w:rPr>
          <w:rFonts w:hint="eastAsia"/>
        </w:rPr>
        <w:t>Kaniel</w:t>
      </w:r>
      <w:proofErr w:type="spellEnd"/>
      <w:r>
        <w:rPr>
          <w:rFonts w:hint="eastAsia"/>
        </w:rPr>
        <w:t xml:space="preserve"> et al</w:t>
      </w:r>
      <w:proofErr w:type="gramStart"/>
      <w:r>
        <w:rPr>
          <w:rFonts w:hint="eastAsia"/>
        </w:rPr>
        <w:t>.(</w:t>
      </w:r>
      <w:proofErr w:type="gramEnd"/>
      <w:r>
        <w:rPr>
          <w:rFonts w:hint="eastAsia"/>
        </w:rPr>
        <w:t xml:space="preserve">2008)의 </w:t>
      </w:r>
      <w:proofErr w:type="spellStart"/>
      <w:r>
        <w:rPr>
          <w:rFonts w:hint="eastAsia"/>
        </w:rPr>
        <w:t>decile</w:t>
      </w:r>
      <w:proofErr w:type="spellEnd"/>
      <w:r>
        <w:rPr>
          <w:rFonts w:hint="eastAsia"/>
        </w:rPr>
        <w:t xml:space="preserve"> 분석을 이용하여 4.2장에서 다루기로 한다. </w:t>
      </w:r>
    </w:p>
    <w:p w:rsidR="002C7D06" w:rsidRDefault="002C7D06" w:rsidP="00CF6042">
      <w:pPr>
        <w:spacing w:line="276" w:lineRule="auto"/>
      </w:pPr>
    </w:p>
    <w:p w:rsidR="00392C84" w:rsidRPr="00B6568E" w:rsidRDefault="00392C84" w:rsidP="00CF6042">
      <w:pPr>
        <w:spacing w:line="276" w:lineRule="auto"/>
        <w:ind w:left="800" w:firstLine="800"/>
        <w:rPr>
          <w:rFonts w:ascii="Times New Roman" w:eastAsia="HY신명조" w:hAnsi="Times New Roman" w:cs="Times New Roman"/>
        </w:rPr>
      </w:pPr>
      <w:r w:rsidRPr="00B6568E">
        <w:rPr>
          <w:rFonts w:ascii="Times New Roman" w:eastAsia="HY신명조" w:hAnsi="Times New Roman" w:cs="Times New Roman"/>
          <w:b/>
        </w:rPr>
        <w:t xml:space="preserve">Model 1: </w:t>
      </w:r>
      <w:r w:rsidRPr="00B6568E">
        <w:rPr>
          <w:rFonts w:ascii="Times New Roman" w:eastAsia="HY신명조" w:hAnsi="Times New Roman" w:cs="Times New Roman"/>
          <w:b/>
          <w:position w:val="-12"/>
        </w:rPr>
        <w:object w:dxaOrig="2060" w:dyaOrig="360">
          <v:shape id="_x0000_i1031" type="#_x0000_t75" style="width:103.8pt;height:18.4pt" o:ole="">
            <v:imagedata r:id="rId20" o:title=""/>
          </v:shape>
          <o:OLEObject Type="Embed" ProgID="Equation.DSMT4" ShapeID="_x0000_i1031" DrawAspect="Content" ObjectID="_1463777620" r:id="rId21"/>
        </w:object>
      </w:r>
      <w:r w:rsidRPr="00B6568E">
        <w:rPr>
          <w:rFonts w:ascii="Times New Roman" w:eastAsia="HY신명조" w:hAnsi="Times New Roman" w:cs="Times New Roman"/>
          <w:b/>
          <w:position w:val="-12"/>
        </w:rPr>
        <w:t xml:space="preserve">             </w:t>
      </w:r>
      <w:r w:rsidR="0023579F">
        <w:rPr>
          <w:rFonts w:ascii="Times New Roman" w:eastAsia="HY신명조" w:hAnsi="Times New Roman" w:cs="Times New Roman" w:hint="eastAsia"/>
          <w:b/>
          <w:position w:val="-12"/>
        </w:rPr>
        <w:t xml:space="preserve"> </w:t>
      </w:r>
      <w:r w:rsidRPr="00B6568E">
        <w:rPr>
          <w:rFonts w:ascii="Times New Roman" w:eastAsia="HY신명조" w:hAnsi="Times New Roman" w:cs="Times New Roman"/>
          <w:b/>
          <w:position w:val="-12"/>
        </w:rPr>
        <w:t xml:space="preserve">  </w:t>
      </w:r>
      <w:r w:rsidR="0023579F">
        <w:rPr>
          <w:rFonts w:ascii="Times New Roman" w:eastAsia="HY신명조" w:hAnsi="Times New Roman" w:cs="Times New Roman" w:hint="eastAsia"/>
          <w:b/>
          <w:position w:val="-12"/>
        </w:rPr>
        <w:t xml:space="preserve"> </w:t>
      </w:r>
      <w:r w:rsidRPr="00B6568E">
        <w:rPr>
          <w:rFonts w:ascii="Times New Roman" w:eastAsia="HY신명조" w:hAnsi="Times New Roman" w:cs="Times New Roman"/>
        </w:rPr>
        <w:t>(1)</w:t>
      </w:r>
    </w:p>
    <w:p w:rsidR="00392C84" w:rsidRPr="00B6568E" w:rsidRDefault="00392C84" w:rsidP="00CF6042">
      <w:pPr>
        <w:spacing w:line="276" w:lineRule="auto"/>
        <w:ind w:left="800" w:firstLine="800"/>
        <w:rPr>
          <w:rFonts w:ascii="Times New Roman" w:eastAsia="HY신명조" w:hAnsi="Times New Roman" w:cs="Times New Roman"/>
          <w:b/>
        </w:rPr>
      </w:pPr>
      <w:r w:rsidRPr="00B6568E">
        <w:rPr>
          <w:rFonts w:ascii="Times New Roman" w:eastAsia="HY신명조" w:hAnsi="Times New Roman" w:cs="Times New Roman"/>
          <w:b/>
        </w:rPr>
        <w:t xml:space="preserve">Model 2: </w:t>
      </w:r>
      <w:r w:rsidR="0023579F" w:rsidRPr="00B6568E">
        <w:rPr>
          <w:rFonts w:ascii="Times New Roman" w:eastAsia="HY신명조" w:hAnsi="Times New Roman" w:cs="Times New Roman"/>
          <w:b/>
          <w:position w:val="-12"/>
        </w:rPr>
        <w:object w:dxaOrig="3019" w:dyaOrig="360">
          <v:shape id="_x0000_i1032" type="#_x0000_t75" style="width:151.55pt;height:18.4pt" o:ole="">
            <v:imagedata r:id="rId22" o:title=""/>
          </v:shape>
          <o:OLEObject Type="Embed" ProgID="Equation.DSMT4" ShapeID="_x0000_i1032" DrawAspect="Content" ObjectID="_1463777621" r:id="rId23"/>
        </w:object>
      </w:r>
      <w:r w:rsidRPr="00B6568E">
        <w:rPr>
          <w:rFonts w:ascii="Times New Roman" w:eastAsia="HY신명조" w:hAnsi="Times New Roman" w:cs="Times New Roman"/>
          <w:b/>
          <w:position w:val="-12"/>
        </w:rPr>
        <w:t xml:space="preserve">      </w:t>
      </w:r>
      <w:r w:rsidR="0023579F">
        <w:rPr>
          <w:rFonts w:ascii="Times New Roman" w:eastAsia="HY신명조" w:hAnsi="Times New Roman" w:cs="Times New Roman" w:hint="eastAsia"/>
          <w:b/>
          <w:position w:val="-12"/>
        </w:rPr>
        <w:t xml:space="preserve"> </w:t>
      </w:r>
      <w:r w:rsidRPr="00B6568E">
        <w:rPr>
          <w:rFonts w:ascii="Times New Roman" w:eastAsia="HY신명조" w:hAnsi="Times New Roman" w:cs="Times New Roman"/>
          <w:b/>
          <w:position w:val="-12"/>
        </w:rPr>
        <w:t xml:space="preserve"> </w:t>
      </w:r>
      <w:r w:rsidRPr="00B6568E">
        <w:rPr>
          <w:rFonts w:ascii="Times New Roman" w:eastAsia="HY신명조" w:hAnsi="Times New Roman" w:cs="Times New Roman"/>
        </w:rPr>
        <w:t>(2)</w:t>
      </w:r>
    </w:p>
    <w:p w:rsidR="00392C84" w:rsidRPr="00B6568E" w:rsidRDefault="00392C84" w:rsidP="00CF6042">
      <w:pPr>
        <w:spacing w:line="276" w:lineRule="auto"/>
        <w:ind w:left="800" w:firstLine="800"/>
        <w:rPr>
          <w:rFonts w:ascii="Times New Roman" w:eastAsia="HY신명조" w:hAnsi="Times New Roman" w:cs="Times New Roman"/>
          <w:b/>
        </w:rPr>
      </w:pPr>
      <w:r w:rsidRPr="00B6568E">
        <w:rPr>
          <w:rFonts w:ascii="Times New Roman" w:eastAsia="HY신명조" w:hAnsi="Times New Roman" w:cs="Times New Roman"/>
          <w:b/>
        </w:rPr>
        <w:t xml:space="preserve">Model 3: </w:t>
      </w:r>
      <w:r w:rsidRPr="00B6568E">
        <w:rPr>
          <w:rFonts w:ascii="Times New Roman" w:eastAsia="HY신명조" w:hAnsi="Times New Roman" w:cs="Times New Roman"/>
          <w:b/>
          <w:position w:val="-12"/>
        </w:rPr>
        <w:object w:dxaOrig="3220" w:dyaOrig="360">
          <v:shape id="_x0000_i1033" type="#_x0000_t75" style="width:162.4pt;height:18.4pt" o:ole="">
            <v:imagedata r:id="rId24" o:title=""/>
          </v:shape>
          <o:OLEObject Type="Embed" ProgID="Equation.DSMT4" ShapeID="_x0000_i1033" DrawAspect="Content" ObjectID="_1463777622" r:id="rId25"/>
        </w:object>
      </w:r>
      <w:r w:rsidRPr="00B6568E">
        <w:rPr>
          <w:rFonts w:ascii="Times New Roman" w:eastAsia="HY신명조" w:hAnsi="Times New Roman" w:cs="Times New Roman"/>
          <w:b/>
          <w:position w:val="-12"/>
        </w:rPr>
        <w:t xml:space="preserve">     </w:t>
      </w:r>
      <w:r w:rsidRPr="00B6568E">
        <w:rPr>
          <w:rFonts w:ascii="Times New Roman" w:eastAsia="HY신명조" w:hAnsi="Times New Roman" w:cs="Times New Roman"/>
        </w:rPr>
        <w:t>(3)</w:t>
      </w:r>
    </w:p>
    <w:p w:rsidR="00392C84" w:rsidRPr="00B6568E" w:rsidRDefault="00392C84" w:rsidP="00CF6042">
      <w:pPr>
        <w:spacing w:line="276" w:lineRule="auto"/>
        <w:ind w:left="800" w:firstLine="800"/>
        <w:rPr>
          <w:rFonts w:ascii="Times New Roman" w:eastAsia="HY신명조" w:hAnsi="Times New Roman" w:cs="Times New Roman"/>
          <w:b/>
        </w:rPr>
      </w:pPr>
      <w:r w:rsidRPr="00B6568E">
        <w:rPr>
          <w:rFonts w:ascii="Times New Roman" w:eastAsia="HY신명조" w:hAnsi="Times New Roman" w:cs="Times New Roman"/>
          <w:b/>
        </w:rPr>
        <w:t xml:space="preserve">Model 4: </w:t>
      </w:r>
      <w:r w:rsidRPr="00B6568E">
        <w:rPr>
          <w:rFonts w:ascii="Times New Roman" w:eastAsia="HY신명조" w:hAnsi="Times New Roman" w:cs="Times New Roman"/>
          <w:b/>
          <w:position w:val="-12"/>
        </w:rPr>
        <w:object w:dxaOrig="2960" w:dyaOrig="360">
          <v:shape id="_x0000_i1034" type="#_x0000_t75" style="width:148.2pt;height:18.4pt" o:ole="">
            <v:imagedata r:id="rId26" o:title=""/>
          </v:shape>
          <o:OLEObject Type="Embed" ProgID="Equation.DSMT4" ShapeID="_x0000_i1034" DrawAspect="Content" ObjectID="_1463777623" r:id="rId27"/>
        </w:object>
      </w:r>
      <w:r w:rsidRPr="00B6568E">
        <w:rPr>
          <w:rFonts w:ascii="Times New Roman" w:eastAsia="HY신명조" w:hAnsi="Times New Roman" w:cs="Times New Roman"/>
          <w:b/>
          <w:position w:val="-12"/>
        </w:rPr>
        <w:t xml:space="preserve">     </w:t>
      </w:r>
      <w:r w:rsidR="0023579F">
        <w:rPr>
          <w:rFonts w:ascii="Times New Roman" w:eastAsia="HY신명조" w:hAnsi="Times New Roman" w:cs="Times New Roman" w:hint="eastAsia"/>
          <w:b/>
          <w:position w:val="-12"/>
        </w:rPr>
        <w:t xml:space="preserve"> </w:t>
      </w:r>
      <w:r w:rsidRPr="00B6568E">
        <w:rPr>
          <w:rFonts w:ascii="Times New Roman" w:eastAsia="HY신명조" w:hAnsi="Times New Roman" w:cs="Times New Roman"/>
          <w:b/>
          <w:position w:val="-12"/>
        </w:rPr>
        <w:t xml:space="preserve">  </w:t>
      </w:r>
      <w:r w:rsidRPr="00B6568E">
        <w:rPr>
          <w:rFonts w:ascii="Times New Roman" w:eastAsia="HY신명조" w:hAnsi="Times New Roman" w:cs="Times New Roman"/>
        </w:rPr>
        <w:t>(4)</w:t>
      </w:r>
    </w:p>
    <w:p w:rsidR="00392C84" w:rsidRPr="00B6568E" w:rsidRDefault="00392C84" w:rsidP="00CF6042">
      <w:pPr>
        <w:spacing w:line="276" w:lineRule="auto"/>
        <w:ind w:left="800" w:firstLine="800"/>
        <w:rPr>
          <w:rFonts w:ascii="Times New Roman" w:eastAsia="HY신명조" w:hAnsi="Times New Roman" w:cs="Times New Roman"/>
          <w:b/>
        </w:rPr>
      </w:pPr>
      <w:r w:rsidRPr="00B6568E">
        <w:rPr>
          <w:rFonts w:ascii="Times New Roman" w:eastAsia="HY신명조" w:hAnsi="Times New Roman" w:cs="Times New Roman"/>
          <w:b/>
        </w:rPr>
        <w:t xml:space="preserve">Model 5: </w:t>
      </w:r>
      <w:r w:rsidRPr="00B6568E">
        <w:rPr>
          <w:rFonts w:ascii="Times New Roman" w:eastAsia="HY신명조" w:hAnsi="Times New Roman" w:cs="Times New Roman"/>
          <w:b/>
          <w:position w:val="-12"/>
        </w:rPr>
        <w:object w:dxaOrig="3120" w:dyaOrig="360">
          <v:shape id="_x0000_i1035" type="#_x0000_t75" style="width:155.7pt;height:18.4pt" o:ole="">
            <v:imagedata r:id="rId28" o:title=""/>
          </v:shape>
          <o:OLEObject Type="Embed" ProgID="Equation.DSMT4" ShapeID="_x0000_i1035" DrawAspect="Content" ObjectID="_1463777624" r:id="rId29"/>
        </w:object>
      </w:r>
      <w:r w:rsidRPr="00B6568E">
        <w:rPr>
          <w:rFonts w:ascii="Times New Roman" w:eastAsia="HY신명조" w:hAnsi="Times New Roman" w:cs="Times New Roman"/>
          <w:b/>
          <w:position w:val="-12"/>
        </w:rPr>
        <w:t xml:space="preserve">    </w:t>
      </w:r>
      <w:r w:rsidR="0023579F">
        <w:rPr>
          <w:rFonts w:ascii="Times New Roman" w:eastAsia="HY신명조" w:hAnsi="Times New Roman" w:cs="Times New Roman" w:hint="eastAsia"/>
          <w:b/>
          <w:position w:val="-12"/>
        </w:rPr>
        <w:t xml:space="preserve"> </w:t>
      </w:r>
      <w:r w:rsidRPr="00B6568E">
        <w:rPr>
          <w:rFonts w:ascii="Times New Roman" w:eastAsia="HY신명조" w:hAnsi="Times New Roman" w:cs="Times New Roman"/>
          <w:b/>
          <w:position w:val="-12"/>
        </w:rPr>
        <w:t xml:space="preserve">  </w:t>
      </w:r>
      <w:r w:rsidRPr="00B6568E">
        <w:rPr>
          <w:rFonts w:ascii="Times New Roman" w:eastAsia="HY신명조" w:hAnsi="Times New Roman" w:cs="Times New Roman"/>
        </w:rPr>
        <w:t>(5)</w:t>
      </w:r>
    </w:p>
    <w:p w:rsidR="00392C84" w:rsidRPr="00392C84" w:rsidRDefault="00392C84" w:rsidP="00290146">
      <w:pPr>
        <w:spacing w:line="276" w:lineRule="auto"/>
      </w:pPr>
    </w:p>
    <w:p w:rsidR="00290146" w:rsidRDefault="00290146" w:rsidP="0023579F">
      <w:pPr>
        <w:spacing w:line="276" w:lineRule="auto"/>
        <w:ind w:firstLineChars="100" w:firstLine="200"/>
      </w:pPr>
      <w:r w:rsidRPr="00290146">
        <w:t xml:space="preserve">구체적으로 모형 1은 내재변동성의 자기상관관계를 검증하여, 내재변동성이 평균회귀현상을 가지고 있는지 검증한다. 여기서 </w:t>
      </w:r>
      <m:oMath>
        <m:r>
          <m:rPr>
            <m:sty m:val="p"/>
          </m:rPr>
          <w:rPr>
            <w:rFonts w:ascii="Cambria Math" w:hAnsi="Cambria Math"/>
          </w:rPr>
          <m:t>1-</m:t>
        </m:r>
        <m:sSub>
          <m:sSubPr>
            <m:ctrlPr>
              <w:rPr>
                <w:rFonts w:ascii="Cambria Math" w:hAnsi="Cambria Math"/>
              </w:rPr>
            </m:ctrlPr>
          </m:sSubPr>
          <m:e>
            <m:r>
              <m:rPr>
                <m:sty m:val="p"/>
              </m:rPr>
              <w:rPr>
                <w:rFonts w:ascii="Cambria Math" w:hAnsi="Cambria Math"/>
              </w:rPr>
              <m:t>β</m:t>
            </m:r>
          </m:e>
          <m:sub>
            <m:r>
              <m:rPr>
                <m:sty m:val="p"/>
              </m:rPr>
              <w:rPr>
                <w:rFonts w:ascii="Cambria Math" w:hAnsi="Cambria Math"/>
              </w:rPr>
              <m:t>1</m:t>
            </m:r>
          </m:sub>
        </m:sSub>
      </m:oMath>
      <w:r w:rsidRPr="00290146">
        <w:t xml:space="preserve">은 내재변동성의 평균회귀속도(mean-reversion speed)이며, </w:t>
      </w:r>
      <m:oMath>
        <m:f>
          <m:fPr>
            <m:type m:val="lin"/>
            <m:ctrlPr>
              <w:rPr>
                <w:rFonts w:ascii="Cambria Math" w:hAnsi="Cambria Math"/>
              </w:rPr>
            </m:ctrlPr>
          </m:fPr>
          <m:num>
            <m:sSub>
              <m:sSubPr>
                <m:ctrlPr>
                  <w:rPr>
                    <w:rFonts w:ascii="Cambria Math" w:hAnsi="Cambria Math"/>
                    <w:i/>
                  </w:rPr>
                </m:ctrlPr>
              </m:sSubPr>
              <m:e>
                <m:r>
                  <w:rPr>
                    <w:rFonts w:ascii="Cambria Math" w:hAnsi="Cambria Math"/>
                  </w:rPr>
                  <m:t>β</m:t>
                </m:r>
              </m:e>
              <m:sub>
                <m:r>
                  <w:rPr>
                    <w:rFonts w:ascii="Cambria Math" w:hAnsi="Cambria Math"/>
                  </w:rPr>
                  <m:t>0</m:t>
                </m:r>
              </m:sub>
            </m:sSub>
          </m:num>
          <m:den>
            <m:r>
              <w:rPr>
                <w:rFonts w:ascii="Cambria Math" w:hAnsi="Cambria Math"/>
              </w:rPr>
              <m:t>(1-</m:t>
            </m:r>
            <m:sSub>
              <m:sSubPr>
                <m:ctrlPr>
                  <w:rPr>
                    <w:rFonts w:ascii="Cambria Math" w:hAnsi="Cambria Math"/>
                    <w:i/>
                  </w:rPr>
                </m:ctrlPr>
              </m:sSubPr>
              <m:e>
                <m:r>
                  <w:rPr>
                    <w:rFonts w:ascii="Cambria Math" w:hAnsi="Cambria Math"/>
                  </w:rPr>
                  <m:t>β</m:t>
                </m:r>
              </m:e>
              <m:sub>
                <m:r>
                  <w:rPr>
                    <w:rFonts w:ascii="Cambria Math" w:hAnsi="Cambria Math"/>
                  </w:rPr>
                  <m:t>1</m:t>
                </m:r>
              </m:sub>
            </m:sSub>
            <m:r>
              <w:rPr>
                <w:rFonts w:ascii="Cambria Math" w:hAnsi="Cambria Math"/>
              </w:rPr>
              <m:t>)</m:t>
            </m:r>
          </m:den>
        </m:f>
      </m:oMath>
      <w:r w:rsidRPr="00290146">
        <w:t xml:space="preserve">는 장기평균값을 나타낸다. 모형 2는 내재변동성의 평균회귀현상을 조정한 이후, 특정 거래주체의 </w:t>
      </w:r>
      <w:r w:rsidR="0023579F">
        <w:t>거래강도</w:t>
      </w:r>
      <w:r w:rsidR="0023579F">
        <w:rPr>
          <w:rFonts w:hint="eastAsia"/>
        </w:rPr>
        <w:t>와</w:t>
      </w:r>
      <w:r w:rsidRPr="00290146">
        <w:t xml:space="preserve"> </w:t>
      </w:r>
      <w:proofErr w:type="spellStart"/>
      <w:r w:rsidRPr="00290146">
        <w:t>동시점의</w:t>
      </w:r>
      <w:proofErr w:type="spellEnd"/>
      <w:r w:rsidRPr="00290146">
        <w:t xml:space="preserve"> 내재변동성</w:t>
      </w:r>
      <w:r w:rsidR="0023579F">
        <w:rPr>
          <w:rFonts w:hint="eastAsia"/>
        </w:rPr>
        <w:t>의 변화를 검증한다.</w:t>
      </w:r>
      <w:r w:rsidRPr="00290146">
        <w:t xml:space="preserve"> 모형 3은 내재변동성을 차분한 값을 이용해, </w:t>
      </w:r>
      <w:r w:rsidR="0023579F">
        <w:t>거래강도</w:t>
      </w:r>
      <w:r w:rsidR="0023579F">
        <w:rPr>
          <w:rFonts w:hint="eastAsia"/>
        </w:rPr>
        <w:t>와</w:t>
      </w:r>
      <w:r w:rsidRPr="00290146">
        <w:t xml:space="preserve"> 내재변동성</w:t>
      </w:r>
      <w:r w:rsidR="0023579F">
        <w:rPr>
          <w:rFonts w:hint="eastAsia"/>
        </w:rPr>
        <w:t xml:space="preserve">의 </w:t>
      </w:r>
      <w:proofErr w:type="spellStart"/>
      <w:r w:rsidR="0023579F">
        <w:rPr>
          <w:rFonts w:hint="eastAsia"/>
        </w:rPr>
        <w:t>증분값</w:t>
      </w:r>
      <w:r w:rsidRPr="00290146">
        <w:t>에</w:t>
      </w:r>
      <w:proofErr w:type="spellEnd"/>
      <w:r w:rsidRPr="00290146">
        <w:t xml:space="preserve"> 미치는 영향을 검증한다. </w:t>
      </w:r>
      <w:r w:rsidR="0023579F">
        <w:rPr>
          <w:rFonts w:hint="eastAsia"/>
        </w:rPr>
        <w:t>&lt;</w:t>
      </w:r>
      <w:r w:rsidRPr="00290146">
        <w:t>표 1</w:t>
      </w:r>
      <w:r w:rsidR="0023579F">
        <w:rPr>
          <w:rFonts w:hint="eastAsia"/>
        </w:rPr>
        <w:t>&gt;</w:t>
      </w:r>
      <w:r w:rsidRPr="00290146">
        <w:t xml:space="preserve">의 패널 A에서 </w:t>
      </w:r>
      <w:r w:rsidRPr="00290146">
        <w:lastRenderedPageBreak/>
        <w:t xml:space="preserve">확인한 바와 같이, 내재변동성은 </w:t>
      </w:r>
      <w:proofErr w:type="spellStart"/>
      <w:r w:rsidRPr="00290146">
        <w:t>단위근의</w:t>
      </w:r>
      <w:proofErr w:type="spellEnd"/>
      <w:r w:rsidRPr="00290146">
        <w:t xml:space="preserve"> 유무에 대한 두 가지 </w:t>
      </w:r>
      <w:proofErr w:type="spellStart"/>
      <w:r w:rsidRPr="00290146">
        <w:t>귀무가설을</w:t>
      </w:r>
      <w:proofErr w:type="spellEnd"/>
      <w:r w:rsidRPr="00290146">
        <w:t xml:space="preserve"> 모두 기각하는 결과를 보여주었기 때문에 </w:t>
      </w:r>
      <w:proofErr w:type="spellStart"/>
      <w:r w:rsidRPr="00290146">
        <w:t>강건성을</w:t>
      </w:r>
      <w:proofErr w:type="spellEnd"/>
      <w:r w:rsidRPr="00290146">
        <w:t xml:space="preserve"> 확보하기 위해 차분한 값을 이용한 모형의 결과를 </w:t>
      </w:r>
      <w:r w:rsidR="0023579F">
        <w:rPr>
          <w:rFonts w:hint="eastAsia"/>
        </w:rPr>
        <w:t xml:space="preserve">함께 </w:t>
      </w:r>
      <w:r w:rsidRPr="00290146">
        <w:t xml:space="preserve">보여준다. 모형 4는 특정 거래주체의 거래강도가 미래 변동성의 움직임을 설명할 수 있는지 확인하며, 모형 5는 변동성의 변화가 특정 거래주체의 거래성향에 영향을 미치는지 검증한다. </w:t>
      </w:r>
      <w:r w:rsidR="007A7718">
        <w:rPr>
          <w:rFonts w:hint="eastAsia"/>
        </w:rPr>
        <w:t xml:space="preserve"> </w:t>
      </w:r>
      <w:r w:rsidR="0023579F">
        <w:rPr>
          <w:rFonts w:hint="eastAsia"/>
        </w:rPr>
        <w:t xml:space="preserve"> </w:t>
      </w:r>
    </w:p>
    <w:p w:rsidR="00290146" w:rsidRPr="00290146" w:rsidRDefault="0023579F" w:rsidP="007A7718">
      <w:pPr>
        <w:spacing w:line="276" w:lineRule="auto"/>
        <w:ind w:firstLineChars="100" w:firstLine="200"/>
      </w:pPr>
      <w:r>
        <w:rPr>
          <w:rFonts w:hint="eastAsia"/>
        </w:rPr>
        <w:t>&lt;표4&gt;는 국내기관투자자</w:t>
      </w:r>
      <w:r w:rsidR="007A7718">
        <w:rPr>
          <w:rFonts w:hint="eastAsia"/>
        </w:rPr>
        <w:t xml:space="preserve">에 대해 모형 1-5을 이용해 분석한 결과를 보여준다. 계수의 유의성은 이분산성과 자기상관성을 고려한 </w:t>
      </w:r>
      <w:proofErr w:type="spellStart"/>
      <w:r w:rsidR="007A7718">
        <w:rPr>
          <w:rFonts w:hint="eastAsia"/>
        </w:rPr>
        <w:t>Newey</w:t>
      </w:r>
      <w:proofErr w:type="spellEnd"/>
      <w:r w:rsidR="007A7718">
        <w:rPr>
          <w:rFonts w:hint="eastAsia"/>
        </w:rPr>
        <w:t>-West의 t-통계량을 사용한다. 모형 1</w:t>
      </w:r>
      <w:r w:rsidR="00290146" w:rsidRPr="00290146">
        <w:t xml:space="preserve">에서 </w:t>
      </w:r>
      <m:oMath>
        <m:sSub>
          <m:sSubPr>
            <m:ctrlPr>
              <w:rPr>
                <w:rFonts w:ascii="Cambria Math" w:hAnsi="Cambria Math"/>
              </w:rPr>
            </m:ctrlPr>
          </m:sSubPr>
          <m:e>
            <m:r>
              <m:rPr>
                <m:sty m:val="p"/>
              </m:rPr>
              <w:rPr>
                <w:rFonts w:ascii="Cambria Math" w:hAnsi="Cambria Math"/>
              </w:rPr>
              <m:t>β</m:t>
            </m:r>
          </m:e>
          <m:sub>
            <m:r>
              <m:rPr>
                <m:sty m:val="p"/>
              </m:rPr>
              <w:rPr>
                <w:rFonts w:ascii="Cambria Math" w:hAnsi="Cambria Math"/>
              </w:rPr>
              <m:t>1</m:t>
            </m:r>
          </m:sub>
        </m:sSub>
      </m:oMath>
      <w:r w:rsidR="00290146" w:rsidRPr="00290146">
        <w:t xml:space="preserve">의 크기는 약 0.95이며 99%의 신뢰수준에서 유의하였다. 따라서 내재변동성의 평균회귀속도는 약 0.05이며, 장기평균값은 약 25가 된다. 장기평균값은 표 1에서 정리된 전체기간의 내재변동성의 평균과 거의 유사하다. 모형 2와 3의 결과에 의하면, </w:t>
      </w:r>
      <w:r w:rsidR="007A7718">
        <w:rPr>
          <w:rFonts w:hint="eastAsia"/>
        </w:rPr>
        <w:t>국내</w:t>
      </w:r>
      <w:r w:rsidR="00290146" w:rsidRPr="00290146">
        <w:t xml:space="preserve">기관투자자의 거래강도는 변동성에 유의한 영향을 미치지 못하였다. 비록 부호는 음의 값으로 나타났지만, 계수들은 모두 유의하지 않게 나타났다. 또한 </w:t>
      </w:r>
      <w:r w:rsidR="007A7718">
        <w:rPr>
          <w:rFonts w:hint="eastAsia"/>
        </w:rPr>
        <w:t>국내</w:t>
      </w:r>
      <w:r w:rsidR="00290146" w:rsidRPr="00290146">
        <w:t xml:space="preserve">기관투자자의 거래강도가 미래 변동성의 움직임을 예측할 수 있는지 검증한 모형 4의 결과에서도 유의성이 관찰되지 않았다. </w:t>
      </w:r>
      <w:r w:rsidR="007A7718">
        <w:rPr>
          <w:rFonts w:hint="eastAsia"/>
        </w:rPr>
        <w:t>마지막으로</w:t>
      </w:r>
      <w:r w:rsidR="00290146" w:rsidRPr="00290146">
        <w:t xml:space="preserve"> 내재변동성의 변화가 기관투자자의 거래강도에 영향을 미치는지를 검증한 모형 5에서도 내재변동성의 유의성은 관찰되지 않았다. 단지, </w:t>
      </w:r>
      <w:r w:rsidR="007A7718">
        <w:rPr>
          <w:rFonts w:hint="eastAsia"/>
        </w:rPr>
        <w:t>국내</w:t>
      </w:r>
      <w:r w:rsidR="00290146" w:rsidRPr="00290146">
        <w:t xml:space="preserve">기관투자자의 </w:t>
      </w:r>
      <w:r w:rsidR="007A7718">
        <w:t>거래강도측도</w:t>
      </w:r>
      <w:r w:rsidR="007A7718">
        <w:rPr>
          <w:rFonts w:hint="eastAsia"/>
        </w:rPr>
        <w:t>가</w:t>
      </w:r>
      <w:r w:rsidR="00290146" w:rsidRPr="00290146">
        <w:t xml:space="preserve"> AR(1) 프로세스를 따르는 것을 관찰할 수 있었다. </w:t>
      </w:r>
    </w:p>
    <w:p w:rsidR="00290146" w:rsidRDefault="00290146"/>
    <w:p w:rsidR="00290146" w:rsidRPr="00290146" w:rsidRDefault="00290146"/>
    <w:p w:rsidR="00392C84" w:rsidRDefault="00392C84" w:rsidP="00392C84">
      <w:pPr>
        <w:jc w:val="center"/>
        <w:rPr>
          <w:b/>
        </w:rPr>
      </w:pPr>
      <w:r>
        <w:rPr>
          <w:rFonts w:hint="eastAsia"/>
          <w:b/>
        </w:rPr>
        <w:t>&lt;</w:t>
      </w:r>
      <w:r w:rsidRPr="00392C84">
        <w:rPr>
          <w:b/>
        </w:rPr>
        <w:t>표 4</w:t>
      </w:r>
      <w:r>
        <w:rPr>
          <w:rFonts w:hint="eastAsia"/>
          <w:b/>
        </w:rPr>
        <w:t>&gt;</w:t>
      </w:r>
      <w:r w:rsidRPr="00392C84">
        <w:rPr>
          <w:b/>
        </w:rPr>
        <w:t xml:space="preserve"> </w:t>
      </w:r>
      <w:r w:rsidR="0023579F">
        <w:rPr>
          <w:rFonts w:hint="eastAsia"/>
          <w:b/>
        </w:rPr>
        <w:t>국내</w:t>
      </w:r>
      <w:r w:rsidRPr="00392C84">
        <w:rPr>
          <w:b/>
        </w:rPr>
        <w:t>기관투자자의 거래강도와 내재변동성(VKOSPI)의 변화</w:t>
      </w:r>
    </w:p>
    <w:p w:rsidR="00392C84" w:rsidRPr="00392C84" w:rsidRDefault="00392C84" w:rsidP="00392C84">
      <w:pPr>
        <w:rPr>
          <w:b/>
        </w:rPr>
      </w:pPr>
      <w:r w:rsidRPr="00392C84">
        <w:t xml:space="preserve">이 표는 모형 1-5의 결과를 보여준다. 각 모형은 식 (1)-(5)에 나타나 있다. 모형 1은 상수와 1기간 전의 내재변동성을 설명변수로 포함하며, 모형 2는 추가적으로 투자자 그룹의 거래강도가 포함된다. 모형 3은 투자자그룹 거래강도가 내재변동성의 </w:t>
      </w:r>
      <w:proofErr w:type="spellStart"/>
      <w:r w:rsidRPr="00392C84">
        <w:t>차분값에</w:t>
      </w:r>
      <w:proofErr w:type="spellEnd"/>
      <w:r w:rsidRPr="00392C84">
        <w:t xml:space="preserve"> 미치는 영향을 검증하며, 모형 4는 거래강도가 미래변동성에 미치는 영향을 검증한다. 마지막으로 모형 5는 내재변동성 변화가 거래강도에 미치는 영향을 분석한다. 괄호 안의 값은 이분산성과 자기상관성을 고려한, </w:t>
      </w:r>
      <w:proofErr w:type="spellStart"/>
      <w:r w:rsidRPr="00392C84">
        <w:t>Newey</w:t>
      </w:r>
      <w:proofErr w:type="spellEnd"/>
      <w:r w:rsidRPr="00392C84">
        <w:t xml:space="preserve">-West HAC </w:t>
      </w:r>
      <w:proofErr w:type="spellStart"/>
      <w:r w:rsidRPr="00392C84">
        <w:t>공분산</w:t>
      </w:r>
      <w:proofErr w:type="spellEnd"/>
      <w:r w:rsidRPr="00392C84">
        <w:t xml:space="preserve"> 방법을 사용하여 계산된 t-통계량이다. *, **, *** 는 각각 10%, 5%, 1%의 신뢰수준 유의성을 나타낸다.</w:t>
      </w:r>
    </w:p>
    <w:tbl>
      <w:tblPr>
        <w:tblStyle w:val="ac"/>
        <w:tblW w:w="5000" w:type="pct"/>
        <w:tblBorders>
          <w:left w:val="none" w:sz="0" w:space="0" w:color="auto"/>
          <w:right w:val="none" w:sz="0" w:space="0" w:color="auto"/>
          <w:insideH w:val="none" w:sz="0" w:space="0" w:color="auto"/>
          <w:insideV w:val="none" w:sz="0" w:space="0" w:color="auto"/>
        </w:tblBorders>
        <w:tblLook w:val="04A0"/>
      </w:tblPr>
      <w:tblGrid>
        <w:gridCol w:w="1255"/>
        <w:gridCol w:w="1587"/>
        <w:gridCol w:w="1698"/>
        <w:gridCol w:w="1684"/>
        <w:gridCol w:w="1431"/>
        <w:gridCol w:w="1587"/>
      </w:tblGrid>
      <w:tr w:rsidR="00392C84" w:rsidRPr="00392C84" w:rsidTr="00392C84">
        <w:tc>
          <w:tcPr>
            <w:tcW w:w="688" w:type="pct"/>
            <w:tcBorders>
              <w:top w:val="single" w:sz="4" w:space="0" w:color="auto"/>
              <w:bottom w:val="single" w:sz="4" w:space="0" w:color="auto"/>
            </w:tcBorders>
            <w:vAlign w:val="center"/>
          </w:tcPr>
          <w:p w:rsidR="00392C84" w:rsidRPr="00392C84" w:rsidRDefault="00392C84" w:rsidP="00392C84"/>
        </w:tc>
        <w:tc>
          <w:tcPr>
            <w:tcW w:w="868" w:type="pct"/>
            <w:tcBorders>
              <w:top w:val="single" w:sz="4" w:space="0" w:color="auto"/>
              <w:bottom w:val="single" w:sz="4" w:space="0" w:color="auto"/>
            </w:tcBorders>
            <w:vAlign w:val="center"/>
          </w:tcPr>
          <w:p w:rsidR="00392C84" w:rsidRPr="00392C84" w:rsidRDefault="00392C84" w:rsidP="00392C84">
            <w:r w:rsidRPr="00392C84">
              <w:t>Constant</w:t>
            </w:r>
          </w:p>
        </w:tc>
        <w:tc>
          <w:tcPr>
            <w:tcW w:w="874" w:type="pct"/>
            <w:tcBorders>
              <w:top w:val="single" w:sz="4" w:space="0" w:color="auto"/>
              <w:bottom w:val="single" w:sz="4" w:space="0" w:color="auto"/>
            </w:tcBorders>
            <w:vAlign w:val="center"/>
          </w:tcPr>
          <w:p w:rsidR="00392C84" w:rsidRPr="00392C84" w:rsidRDefault="005654BA" w:rsidP="00392C84">
            <m:oMathPara>
              <m:oMath>
                <m:sSub>
                  <m:sSubPr>
                    <m:ctrlPr>
                      <w:rPr>
                        <w:rFonts w:ascii="Cambria Math" w:hAnsi="Cambria Math"/>
                      </w:rPr>
                    </m:ctrlPr>
                  </m:sSubPr>
                  <m:e>
                    <m:r>
                      <m:rPr>
                        <m:sty m:val="p"/>
                      </m:rPr>
                      <w:rPr>
                        <w:rFonts w:ascii="Cambria Math" w:hAnsi="Cambria Math"/>
                      </w:rPr>
                      <m:t>IV</m:t>
                    </m:r>
                  </m:e>
                  <m:sub>
                    <m:d>
                      <m:dPr>
                        <m:begChr m:val="{"/>
                        <m:endChr m:val="}"/>
                        <m:ctrlPr>
                          <w:rPr>
                            <w:rFonts w:ascii="Cambria Math" w:hAnsi="Cambria Math"/>
                          </w:rPr>
                        </m:ctrlPr>
                      </m:dPr>
                      <m:e>
                        <m:r>
                          <m:rPr>
                            <m:sty m:val="p"/>
                          </m:rPr>
                          <w:rPr>
                            <w:rFonts w:ascii="Cambria Math" w:hAnsi="Cambria Math"/>
                          </w:rPr>
                          <m:t>t-1</m:t>
                        </m:r>
                      </m:e>
                    </m:d>
                  </m:sub>
                </m:sSub>
                <m:r>
                  <w:rPr>
                    <w:rFonts w:ascii="Cambria Math" w:hAnsi="Cambria Math"/>
                  </w:rPr>
                  <m:t xml:space="preserve"> or </m:t>
                </m:r>
                <m:r>
                  <m:rPr>
                    <m:sty m:val="p"/>
                  </m:rPr>
                  <w:rPr>
                    <w:rFonts w:ascii="Cambria Math" w:hAnsi="Cambria Math"/>
                  </w:rPr>
                  <m:t>Δ</m:t>
                </m:r>
                <m:r>
                  <w:rPr>
                    <w:rFonts w:ascii="Cambria Math" w:hAnsi="Cambria Math"/>
                  </w:rPr>
                  <m:t>I</m:t>
                </m:r>
                <m:sSub>
                  <m:sSubPr>
                    <m:ctrlPr>
                      <w:rPr>
                        <w:rFonts w:ascii="Cambria Math" w:hAnsi="Cambria Math"/>
                        <w:i/>
                      </w:rPr>
                    </m:ctrlPr>
                  </m:sSubPr>
                  <m:e>
                    <m:r>
                      <w:rPr>
                        <w:rFonts w:ascii="Cambria Math" w:hAnsi="Cambria Math"/>
                      </w:rPr>
                      <m:t>V</m:t>
                    </m:r>
                  </m:e>
                  <m:sub>
                    <m:d>
                      <m:dPr>
                        <m:begChr m:val="{"/>
                        <m:endChr m:val="}"/>
                        <m:ctrlPr>
                          <w:rPr>
                            <w:rFonts w:ascii="Cambria Math" w:hAnsi="Cambria Math"/>
                            <w:i/>
                          </w:rPr>
                        </m:ctrlPr>
                      </m:dPr>
                      <m:e>
                        <m:r>
                          <w:rPr>
                            <w:rFonts w:ascii="Cambria Math" w:hAnsi="Cambria Math"/>
                          </w:rPr>
                          <m:t>t-1</m:t>
                        </m:r>
                      </m:e>
                    </m:d>
                  </m:sub>
                </m:sSub>
              </m:oMath>
            </m:oMathPara>
          </w:p>
        </w:tc>
        <w:tc>
          <w:tcPr>
            <w:tcW w:w="920" w:type="pct"/>
            <w:tcBorders>
              <w:top w:val="single" w:sz="4" w:space="0" w:color="auto"/>
              <w:bottom w:val="single" w:sz="4" w:space="0" w:color="auto"/>
            </w:tcBorders>
            <w:vAlign w:val="center"/>
          </w:tcPr>
          <w:p w:rsidR="00392C84" w:rsidRPr="00392C84" w:rsidRDefault="00B1680D" w:rsidP="00392C84">
            <w:r>
              <w:rPr>
                <w:rFonts w:hint="eastAsia"/>
              </w:rPr>
              <w:t xml:space="preserve">Domestic </w:t>
            </w:r>
            <w:r w:rsidR="00392C84" w:rsidRPr="00392C84">
              <w:t>Inst(t)</w:t>
            </w:r>
          </w:p>
        </w:tc>
        <w:tc>
          <w:tcPr>
            <w:tcW w:w="783" w:type="pct"/>
            <w:tcBorders>
              <w:top w:val="single" w:sz="4" w:space="0" w:color="auto"/>
              <w:bottom w:val="single" w:sz="4" w:space="0" w:color="auto"/>
            </w:tcBorders>
            <w:vAlign w:val="center"/>
          </w:tcPr>
          <w:p w:rsidR="00392C84" w:rsidRPr="00392C84" w:rsidRDefault="00392C84" w:rsidP="00392C84">
            <w:r w:rsidRPr="00392C84">
              <w:t>R-squared</w:t>
            </w:r>
          </w:p>
        </w:tc>
        <w:tc>
          <w:tcPr>
            <w:tcW w:w="867" w:type="pct"/>
            <w:tcBorders>
              <w:top w:val="single" w:sz="4" w:space="0" w:color="auto"/>
              <w:bottom w:val="single" w:sz="4" w:space="0" w:color="auto"/>
            </w:tcBorders>
            <w:vAlign w:val="center"/>
          </w:tcPr>
          <w:p w:rsidR="00392C84" w:rsidRPr="00392C84" w:rsidRDefault="00392C84" w:rsidP="00392C84">
            <w:r w:rsidRPr="00392C84">
              <w:t>Adj. R-squared</w:t>
            </w:r>
          </w:p>
        </w:tc>
      </w:tr>
      <w:tr w:rsidR="00392C84" w:rsidRPr="00392C84" w:rsidTr="00392C84">
        <w:trPr>
          <w:trHeight w:val="397"/>
        </w:trPr>
        <w:tc>
          <w:tcPr>
            <w:tcW w:w="688" w:type="pct"/>
            <w:tcBorders>
              <w:top w:val="single" w:sz="4" w:space="0" w:color="auto"/>
            </w:tcBorders>
            <w:vAlign w:val="center"/>
          </w:tcPr>
          <w:p w:rsidR="00392C84" w:rsidRPr="00392C84" w:rsidRDefault="00392C84" w:rsidP="00392C84">
            <w:r w:rsidRPr="00392C84">
              <w:t>Model 1</w:t>
            </w:r>
          </w:p>
        </w:tc>
        <w:tc>
          <w:tcPr>
            <w:tcW w:w="868" w:type="pct"/>
            <w:tcBorders>
              <w:top w:val="single" w:sz="4" w:space="0" w:color="auto"/>
            </w:tcBorders>
            <w:vAlign w:val="center"/>
          </w:tcPr>
          <w:p w:rsidR="00392C84" w:rsidRPr="00392C84" w:rsidRDefault="00392C84" w:rsidP="00392C84">
            <w:r w:rsidRPr="00392C84">
              <w:t>1.2087</w:t>
            </w:r>
          </w:p>
          <w:p w:rsidR="00392C84" w:rsidRPr="00392C84" w:rsidRDefault="00392C84" w:rsidP="00392C84">
            <w:r w:rsidRPr="00392C84">
              <w:t>(1.95)*</w:t>
            </w:r>
          </w:p>
        </w:tc>
        <w:tc>
          <w:tcPr>
            <w:tcW w:w="874" w:type="pct"/>
            <w:tcBorders>
              <w:top w:val="single" w:sz="4" w:space="0" w:color="auto"/>
            </w:tcBorders>
            <w:vAlign w:val="center"/>
          </w:tcPr>
          <w:p w:rsidR="00392C84" w:rsidRPr="00392C84" w:rsidRDefault="00392C84" w:rsidP="00392C84">
            <w:r w:rsidRPr="00392C84">
              <w:t>0.9525</w:t>
            </w:r>
          </w:p>
          <w:p w:rsidR="00392C84" w:rsidRPr="00392C84" w:rsidRDefault="00392C84" w:rsidP="00392C84">
            <w:r w:rsidRPr="00392C84">
              <w:t>(34.82)***</w:t>
            </w:r>
          </w:p>
        </w:tc>
        <w:tc>
          <w:tcPr>
            <w:tcW w:w="920" w:type="pct"/>
            <w:tcBorders>
              <w:top w:val="single" w:sz="4" w:space="0" w:color="auto"/>
            </w:tcBorders>
            <w:vAlign w:val="center"/>
          </w:tcPr>
          <w:p w:rsidR="00392C84" w:rsidRPr="00392C84" w:rsidRDefault="00392C84" w:rsidP="00392C84"/>
        </w:tc>
        <w:tc>
          <w:tcPr>
            <w:tcW w:w="783" w:type="pct"/>
            <w:tcBorders>
              <w:top w:val="single" w:sz="4" w:space="0" w:color="auto"/>
            </w:tcBorders>
            <w:vAlign w:val="center"/>
          </w:tcPr>
          <w:p w:rsidR="00392C84" w:rsidRPr="00392C84" w:rsidRDefault="00392C84" w:rsidP="00392C84">
            <w:r w:rsidRPr="00392C84">
              <w:t>0.9077</w:t>
            </w:r>
          </w:p>
        </w:tc>
        <w:tc>
          <w:tcPr>
            <w:tcW w:w="867" w:type="pct"/>
            <w:tcBorders>
              <w:top w:val="single" w:sz="4" w:space="0" w:color="auto"/>
            </w:tcBorders>
            <w:vAlign w:val="center"/>
          </w:tcPr>
          <w:p w:rsidR="00392C84" w:rsidRPr="00392C84" w:rsidRDefault="00392C84" w:rsidP="00392C84">
            <w:r w:rsidRPr="00392C84">
              <w:t>0.9074</w:t>
            </w:r>
          </w:p>
        </w:tc>
      </w:tr>
      <w:tr w:rsidR="00392C84" w:rsidRPr="00392C84" w:rsidTr="00392C84">
        <w:trPr>
          <w:trHeight w:val="74"/>
        </w:trPr>
        <w:tc>
          <w:tcPr>
            <w:tcW w:w="688" w:type="pct"/>
            <w:vAlign w:val="center"/>
          </w:tcPr>
          <w:p w:rsidR="00392C84" w:rsidRPr="00392C84" w:rsidRDefault="00392C84" w:rsidP="00392C84">
            <w:r w:rsidRPr="00392C84">
              <w:t>Model 2</w:t>
            </w:r>
          </w:p>
        </w:tc>
        <w:tc>
          <w:tcPr>
            <w:tcW w:w="868" w:type="pct"/>
            <w:vAlign w:val="center"/>
          </w:tcPr>
          <w:p w:rsidR="00392C84" w:rsidRPr="00392C84" w:rsidRDefault="00392C84" w:rsidP="00392C84">
            <w:r w:rsidRPr="00392C84">
              <w:t>1.0252</w:t>
            </w:r>
          </w:p>
          <w:p w:rsidR="00392C84" w:rsidRPr="00392C84" w:rsidRDefault="00392C84" w:rsidP="00392C84">
            <w:r w:rsidRPr="00392C84">
              <w:t>(1.69)*</w:t>
            </w:r>
          </w:p>
        </w:tc>
        <w:tc>
          <w:tcPr>
            <w:tcW w:w="874" w:type="pct"/>
            <w:vAlign w:val="center"/>
          </w:tcPr>
          <w:p w:rsidR="00392C84" w:rsidRPr="00392C84" w:rsidRDefault="00392C84" w:rsidP="00392C84">
            <w:r w:rsidRPr="00392C84">
              <w:t>0.9515</w:t>
            </w:r>
          </w:p>
          <w:p w:rsidR="00392C84" w:rsidRPr="00392C84" w:rsidRDefault="00392C84" w:rsidP="00392C84">
            <w:r w:rsidRPr="00392C84">
              <w:t>(34.83)***</w:t>
            </w:r>
          </w:p>
        </w:tc>
        <w:tc>
          <w:tcPr>
            <w:tcW w:w="920" w:type="pct"/>
            <w:vAlign w:val="center"/>
          </w:tcPr>
          <w:p w:rsidR="00392C84" w:rsidRPr="00392C84" w:rsidRDefault="00392C84" w:rsidP="00392C84">
            <w:r w:rsidRPr="00392C84">
              <w:t>-4.64E-07</w:t>
            </w:r>
          </w:p>
          <w:p w:rsidR="00392C84" w:rsidRPr="00392C84" w:rsidRDefault="00392C84" w:rsidP="00392C84">
            <w:r w:rsidRPr="00392C84">
              <w:t>(-1.05)</w:t>
            </w:r>
          </w:p>
        </w:tc>
        <w:tc>
          <w:tcPr>
            <w:tcW w:w="783" w:type="pct"/>
            <w:vAlign w:val="center"/>
          </w:tcPr>
          <w:p w:rsidR="00392C84" w:rsidRPr="00392C84" w:rsidRDefault="00392C84" w:rsidP="00392C84">
            <w:r w:rsidRPr="00392C84">
              <w:t>0.9080</w:t>
            </w:r>
          </w:p>
        </w:tc>
        <w:tc>
          <w:tcPr>
            <w:tcW w:w="867" w:type="pct"/>
            <w:vAlign w:val="center"/>
          </w:tcPr>
          <w:p w:rsidR="00392C84" w:rsidRPr="00392C84" w:rsidRDefault="00392C84" w:rsidP="00392C84">
            <w:r w:rsidRPr="00392C84">
              <w:t>0.9075</w:t>
            </w:r>
          </w:p>
        </w:tc>
      </w:tr>
      <w:tr w:rsidR="00392C84" w:rsidRPr="00392C84" w:rsidTr="00392C84">
        <w:trPr>
          <w:trHeight w:val="143"/>
        </w:trPr>
        <w:tc>
          <w:tcPr>
            <w:tcW w:w="688" w:type="pct"/>
            <w:vAlign w:val="center"/>
          </w:tcPr>
          <w:p w:rsidR="00392C84" w:rsidRPr="00392C84" w:rsidRDefault="00392C84" w:rsidP="00392C84">
            <w:r w:rsidRPr="00392C84">
              <w:t>Model 3</w:t>
            </w:r>
          </w:p>
        </w:tc>
        <w:tc>
          <w:tcPr>
            <w:tcW w:w="868" w:type="pct"/>
            <w:vAlign w:val="center"/>
          </w:tcPr>
          <w:p w:rsidR="00392C84" w:rsidRPr="00392C84" w:rsidRDefault="00392C84" w:rsidP="00392C84">
            <w:r w:rsidRPr="00392C84">
              <w:t>-0.1554</w:t>
            </w:r>
          </w:p>
          <w:p w:rsidR="00392C84" w:rsidRPr="00392C84" w:rsidRDefault="00392C84" w:rsidP="00392C84">
            <w:r w:rsidRPr="00392C84">
              <w:t>(-0.68)</w:t>
            </w:r>
          </w:p>
        </w:tc>
        <w:tc>
          <w:tcPr>
            <w:tcW w:w="874" w:type="pct"/>
            <w:vAlign w:val="center"/>
          </w:tcPr>
          <w:p w:rsidR="00392C84" w:rsidRPr="00392C84" w:rsidRDefault="00392C84" w:rsidP="00392C84">
            <w:r w:rsidRPr="00392C84">
              <w:t>-0.0664</w:t>
            </w:r>
          </w:p>
          <w:p w:rsidR="00392C84" w:rsidRPr="00392C84" w:rsidRDefault="00392C84" w:rsidP="00392C84">
            <w:r w:rsidRPr="00392C84">
              <w:t>(-0.93)</w:t>
            </w:r>
          </w:p>
        </w:tc>
        <w:tc>
          <w:tcPr>
            <w:tcW w:w="920" w:type="pct"/>
            <w:vAlign w:val="center"/>
          </w:tcPr>
          <w:p w:rsidR="00392C84" w:rsidRPr="00392C84" w:rsidRDefault="00392C84" w:rsidP="00392C84">
            <w:r w:rsidRPr="00392C84">
              <w:t>-3.80E-07</w:t>
            </w:r>
          </w:p>
          <w:p w:rsidR="00392C84" w:rsidRPr="00392C84" w:rsidRDefault="00392C84" w:rsidP="00392C84">
            <w:r w:rsidRPr="00392C84">
              <w:t>(-0.9)</w:t>
            </w:r>
          </w:p>
        </w:tc>
        <w:tc>
          <w:tcPr>
            <w:tcW w:w="783" w:type="pct"/>
            <w:vAlign w:val="center"/>
          </w:tcPr>
          <w:p w:rsidR="00392C84" w:rsidRPr="00392C84" w:rsidRDefault="00392C84" w:rsidP="00392C84">
            <w:r w:rsidRPr="00392C84">
              <w:t>0.0070</w:t>
            </w:r>
          </w:p>
        </w:tc>
        <w:tc>
          <w:tcPr>
            <w:tcW w:w="867" w:type="pct"/>
            <w:vAlign w:val="center"/>
          </w:tcPr>
          <w:p w:rsidR="00392C84" w:rsidRPr="00392C84" w:rsidRDefault="00392C84" w:rsidP="00392C84">
            <w:r w:rsidRPr="00392C84">
              <w:t>0.0019</w:t>
            </w:r>
          </w:p>
        </w:tc>
      </w:tr>
      <w:tr w:rsidR="00392C84" w:rsidRPr="00392C84" w:rsidTr="00392C84">
        <w:trPr>
          <w:trHeight w:val="74"/>
        </w:trPr>
        <w:tc>
          <w:tcPr>
            <w:tcW w:w="688" w:type="pct"/>
            <w:vAlign w:val="center"/>
          </w:tcPr>
          <w:p w:rsidR="00392C84" w:rsidRPr="00392C84" w:rsidRDefault="00392C84" w:rsidP="00392C84">
            <w:r w:rsidRPr="00392C84">
              <w:t>Model 4</w:t>
            </w:r>
          </w:p>
        </w:tc>
        <w:tc>
          <w:tcPr>
            <w:tcW w:w="868" w:type="pct"/>
            <w:vAlign w:val="center"/>
          </w:tcPr>
          <w:p w:rsidR="00392C84" w:rsidRPr="00392C84" w:rsidRDefault="00392C84" w:rsidP="00392C84">
            <w:r w:rsidRPr="00392C84">
              <w:t>1.2235</w:t>
            </w:r>
          </w:p>
          <w:p w:rsidR="00392C84" w:rsidRPr="00392C84" w:rsidRDefault="00392C84" w:rsidP="00392C84">
            <w:r w:rsidRPr="00392C84">
              <w:t>(1.91)*</w:t>
            </w:r>
          </w:p>
        </w:tc>
        <w:tc>
          <w:tcPr>
            <w:tcW w:w="874" w:type="pct"/>
            <w:vAlign w:val="center"/>
          </w:tcPr>
          <w:p w:rsidR="00392C84" w:rsidRPr="00392C84" w:rsidRDefault="00392C84" w:rsidP="00392C84">
            <w:r w:rsidRPr="00392C84">
              <w:t>0.9526</w:t>
            </w:r>
          </w:p>
          <w:p w:rsidR="00392C84" w:rsidRPr="00392C84" w:rsidRDefault="00392C84" w:rsidP="00392C84">
            <w:r w:rsidRPr="00392C84">
              <w:t>(34.78)***</w:t>
            </w:r>
          </w:p>
        </w:tc>
        <w:tc>
          <w:tcPr>
            <w:tcW w:w="920" w:type="pct"/>
            <w:vAlign w:val="center"/>
          </w:tcPr>
          <w:p w:rsidR="00392C84" w:rsidRPr="00392C84" w:rsidRDefault="00392C84" w:rsidP="00392C84">
            <w:r w:rsidRPr="00392C84">
              <w:t>3.847E-08</w:t>
            </w:r>
          </w:p>
          <w:p w:rsidR="00392C84" w:rsidRPr="00392C84" w:rsidRDefault="00392C84" w:rsidP="00392C84">
            <w:r w:rsidRPr="00392C84">
              <w:t>(0.09)</w:t>
            </w:r>
          </w:p>
        </w:tc>
        <w:tc>
          <w:tcPr>
            <w:tcW w:w="783" w:type="pct"/>
            <w:vAlign w:val="center"/>
          </w:tcPr>
          <w:p w:rsidR="00392C84" w:rsidRPr="00392C84" w:rsidRDefault="00392C84" w:rsidP="00392C84">
            <w:r w:rsidRPr="00392C84">
              <w:t>0.9077</w:t>
            </w:r>
          </w:p>
        </w:tc>
        <w:tc>
          <w:tcPr>
            <w:tcW w:w="867" w:type="pct"/>
            <w:vAlign w:val="center"/>
          </w:tcPr>
          <w:p w:rsidR="00392C84" w:rsidRPr="00392C84" w:rsidRDefault="00392C84" w:rsidP="00392C84">
            <w:r w:rsidRPr="00392C84">
              <w:t>0.9072</w:t>
            </w:r>
          </w:p>
        </w:tc>
      </w:tr>
      <w:tr w:rsidR="00392C84" w:rsidRPr="00392C84" w:rsidTr="00392C84">
        <w:trPr>
          <w:trHeight w:val="74"/>
        </w:trPr>
        <w:tc>
          <w:tcPr>
            <w:tcW w:w="688" w:type="pct"/>
            <w:vAlign w:val="center"/>
          </w:tcPr>
          <w:p w:rsidR="00392C84" w:rsidRPr="00392C84" w:rsidRDefault="00392C84" w:rsidP="00392C84">
            <w:r w:rsidRPr="00392C84">
              <w:t>Model 5</w:t>
            </w:r>
          </w:p>
        </w:tc>
        <w:tc>
          <w:tcPr>
            <w:tcW w:w="868" w:type="pct"/>
            <w:vAlign w:val="center"/>
          </w:tcPr>
          <w:p w:rsidR="00392C84" w:rsidRPr="00392C84" w:rsidRDefault="00392C84" w:rsidP="00392C84">
            <w:r w:rsidRPr="00392C84">
              <w:t>-426216</w:t>
            </w:r>
          </w:p>
          <w:p w:rsidR="00392C84" w:rsidRPr="00392C84" w:rsidRDefault="00392C84" w:rsidP="00392C84">
            <w:r w:rsidRPr="00392C84">
              <w:t>(-7.21)***</w:t>
            </w:r>
          </w:p>
        </w:tc>
        <w:tc>
          <w:tcPr>
            <w:tcW w:w="874" w:type="pct"/>
            <w:vAlign w:val="center"/>
          </w:tcPr>
          <w:p w:rsidR="00392C84" w:rsidRPr="00392C84" w:rsidRDefault="00392C84" w:rsidP="00392C84">
            <w:r w:rsidRPr="00392C84">
              <w:t>-2366.07</w:t>
            </w:r>
          </w:p>
          <w:p w:rsidR="00392C84" w:rsidRPr="00392C84" w:rsidRDefault="00392C84" w:rsidP="00392C84">
            <w:r w:rsidRPr="00392C84">
              <w:t>(-1.01)</w:t>
            </w:r>
          </w:p>
        </w:tc>
        <w:tc>
          <w:tcPr>
            <w:tcW w:w="920" w:type="pct"/>
            <w:vAlign w:val="center"/>
          </w:tcPr>
          <w:p w:rsidR="00392C84" w:rsidRPr="00392C84" w:rsidRDefault="00392C84" w:rsidP="00392C84">
            <w:r w:rsidRPr="00392C84">
              <w:t>-0.0805</w:t>
            </w:r>
          </w:p>
          <w:p w:rsidR="00392C84" w:rsidRPr="00392C84" w:rsidRDefault="00392C84" w:rsidP="00392C84">
            <w:r w:rsidRPr="00392C84">
              <w:t>(-2.19)**</w:t>
            </w:r>
          </w:p>
        </w:tc>
        <w:tc>
          <w:tcPr>
            <w:tcW w:w="783" w:type="pct"/>
            <w:vAlign w:val="center"/>
          </w:tcPr>
          <w:p w:rsidR="00392C84" w:rsidRPr="00392C84" w:rsidRDefault="00392C84" w:rsidP="00392C84">
            <w:r w:rsidRPr="00392C84">
              <w:t>0.0094</w:t>
            </w:r>
          </w:p>
        </w:tc>
        <w:tc>
          <w:tcPr>
            <w:tcW w:w="867" w:type="pct"/>
            <w:vAlign w:val="center"/>
          </w:tcPr>
          <w:p w:rsidR="00392C84" w:rsidRPr="00392C84" w:rsidRDefault="00392C84" w:rsidP="00392C84">
            <w:r w:rsidRPr="00392C84">
              <w:t>0.0044</w:t>
            </w:r>
          </w:p>
        </w:tc>
      </w:tr>
    </w:tbl>
    <w:p w:rsidR="00392C84" w:rsidRPr="00392C84" w:rsidRDefault="00392C84" w:rsidP="00392C84"/>
    <w:p w:rsidR="00392C84" w:rsidRDefault="00392C84" w:rsidP="00290146">
      <w:pPr>
        <w:spacing w:line="276" w:lineRule="auto"/>
      </w:pPr>
    </w:p>
    <w:p w:rsidR="007A7718" w:rsidRDefault="007A7718" w:rsidP="007A7718">
      <w:pPr>
        <w:spacing w:line="276" w:lineRule="auto"/>
        <w:ind w:firstLineChars="100" w:firstLine="200"/>
      </w:pPr>
      <w:r>
        <w:rPr>
          <w:rFonts w:hint="eastAsia"/>
        </w:rPr>
        <w:t xml:space="preserve">다음으로 외국인기관투자자에 대해 동일한 분석을 수행하였다. 알려진 바와 같이 외국인투자자로 분류된 대부분의 거래자는 외국계기관투자자로 광의의 의미로 모두 기관투자자에 속한다. 그러나 </w:t>
      </w:r>
      <w:proofErr w:type="spellStart"/>
      <w:r>
        <w:rPr>
          <w:rFonts w:hint="eastAsia"/>
        </w:rPr>
        <w:t>Kho</w:t>
      </w:r>
      <w:proofErr w:type="spellEnd"/>
      <w:r>
        <w:rPr>
          <w:rFonts w:hint="eastAsia"/>
        </w:rPr>
        <w:t xml:space="preserve"> et al</w:t>
      </w:r>
      <w:proofErr w:type="gramStart"/>
      <w:r>
        <w:rPr>
          <w:rFonts w:hint="eastAsia"/>
        </w:rPr>
        <w:t>.(</w:t>
      </w:r>
      <w:proofErr w:type="gramEnd"/>
      <w:r>
        <w:rPr>
          <w:rFonts w:hint="eastAsia"/>
        </w:rPr>
        <w:t xml:space="preserve">1998), </w:t>
      </w:r>
      <w:proofErr w:type="spellStart"/>
      <w:r>
        <w:rPr>
          <w:rFonts w:hint="eastAsia"/>
        </w:rPr>
        <w:t>Choey</w:t>
      </w:r>
      <w:proofErr w:type="spellEnd"/>
      <w:r>
        <w:rPr>
          <w:rFonts w:hint="eastAsia"/>
        </w:rPr>
        <w:t xml:space="preserve"> and Wei (2012), Chang et al.(2010)등에서 보고한 바와 같이 신흥시장에서 외국인기관투자자들의 거래행태는 국내기관투자자의 거래행태와 상당히 다르다는 사실이 보고되었기 때문에, 전체 기관투자자를 국내와 외국인으로 나누어 분석한 것이다. 이를 통해 변동성 거래에서 국내기관투자자와 외국기관투자자의 차이점을 확인할 수 있다. </w:t>
      </w:r>
    </w:p>
    <w:p w:rsidR="00392C84" w:rsidRPr="00290146" w:rsidRDefault="007A7718" w:rsidP="009E7C26">
      <w:pPr>
        <w:spacing w:line="276" w:lineRule="auto"/>
        <w:ind w:firstLineChars="100" w:firstLine="200"/>
      </w:pPr>
      <w:r>
        <w:rPr>
          <w:rFonts w:hint="eastAsia"/>
        </w:rPr>
        <w:t xml:space="preserve">&lt;표 5&gt;는 외국인 기관투자자에 대한 분석 결과를 보여준다. 모형 2를 보면 외국인투자자의 거래강도는 변동성과 유의한 관련성을 가지고 있는 것으로 나타났다. 부호는 음(-)으로 이는 외국인이 변동성을 매수할 때, </w:t>
      </w:r>
      <w:proofErr w:type="spellStart"/>
      <w:r>
        <w:rPr>
          <w:rFonts w:hint="eastAsia"/>
        </w:rPr>
        <w:t>동시점의</w:t>
      </w:r>
      <w:proofErr w:type="spellEnd"/>
      <w:r>
        <w:rPr>
          <w:rFonts w:hint="eastAsia"/>
        </w:rPr>
        <w:t xml:space="preserve"> 변동성이 하락한 것으로 이해될 수 있다. 즉, 외국인투자자는 매수 시점에서 변동성의 하락에 의해 </w:t>
      </w:r>
      <w:r w:rsidR="006C5C22">
        <w:rPr>
          <w:rFonts w:hint="eastAsia"/>
        </w:rPr>
        <w:t>유리한 조건으로 매수할 수 있으며, 매도시점에서도 변동성 상승으로 인하여 유리한 조건으로 매도할 수 있음을 의미한다.</w:t>
      </w:r>
      <w:r w:rsidR="006C5C22">
        <w:rPr>
          <w:rStyle w:val="a5"/>
        </w:rPr>
        <w:footnoteReference w:id="9"/>
      </w:r>
      <w:r w:rsidR="006C5C22">
        <w:rPr>
          <w:rFonts w:hint="eastAsia"/>
        </w:rPr>
        <w:t xml:space="preserve"> </w:t>
      </w:r>
      <w:r w:rsidR="00F26873">
        <w:rPr>
          <w:rFonts w:hint="eastAsia"/>
        </w:rPr>
        <w:t xml:space="preserve">이는 개인투자자 거래와 변동성의 관계가 양(+)이라는 사실과 반대의 결과이다. </w:t>
      </w:r>
      <w:r w:rsidR="00290146" w:rsidRPr="00290146">
        <w:t xml:space="preserve">변동성 </w:t>
      </w:r>
      <w:proofErr w:type="spellStart"/>
      <w:r w:rsidR="00290146" w:rsidRPr="00290146">
        <w:t>차분값에</w:t>
      </w:r>
      <w:proofErr w:type="spellEnd"/>
      <w:r w:rsidR="00290146" w:rsidRPr="00290146">
        <w:t xml:space="preserve"> 회귀분석을 수행한 모형 3에서 외국인투자자 거래강도의 유의성은 더욱 향상되었으며, 부호도 모형 2와 일관되게 관찰되었다. 반면, 미래변동성 변화를 예측하는 모형 4에서는 외국인투자자 거래강도의 유의성이 관찰되지 않았으며, 변동성 변화가 외국인투자자의 거래에 영향을 미치는지 살펴본 모형 5에서도 유의성이 관찰되지 않았다. </w:t>
      </w:r>
    </w:p>
    <w:p w:rsidR="002C7D06" w:rsidRDefault="002C7D06" w:rsidP="00290146">
      <w:pPr>
        <w:spacing w:line="276" w:lineRule="auto"/>
      </w:pPr>
    </w:p>
    <w:p w:rsidR="00392C84" w:rsidRDefault="00392C84" w:rsidP="00392C84">
      <w:pPr>
        <w:jc w:val="center"/>
        <w:rPr>
          <w:b/>
        </w:rPr>
      </w:pPr>
      <w:r>
        <w:rPr>
          <w:rFonts w:hint="eastAsia"/>
          <w:b/>
        </w:rPr>
        <w:t>&lt;</w:t>
      </w:r>
      <w:r w:rsidRPr="00392C84">
        <w:rPr>
          <w:b/>
        </w:rPr>
        <w:t>표</w:t>
      </w:r>
      <w:r w:rsidR="00354604">
        <w:rPr>
          <w:b/>
        </w:rPr>
        <w:t xml:space="preserve"> </w:t>
      </w:r>
      <w:r w:rsidR="00354604">
        <w:rPr>
          <w:rFonts w:hint="eastAsia"/>
          <w:b/>
        </w:rPr>
        <w:t>5</w:t>
      </w:r>
      <w:r>
        <w:rPr>
          <w:rFonts w:hint="eastAsia"/>
          <w:b/>
        </w:rPr>
        <w:t>&gt;</w:t>
      </w:r>
      <w:r w:rsidRPr="00392C84">
        <w:rPr>
          <w:b/>
        </w:rPr>
        <w:t xml:space="preserve"> 외국인 투자자의 거래강도와 내재변동성의 변화</w:t>
      </w:r>
    </w:p>
    <w:p w:rsidR="00392C84" w:rsidRPr="00392C84" w:rsidRDefault="00392C84" w:rsidP="00392C84">
      <w:pPr>
        <w:rPr>
          <w:b/>
        </w:rPr>
      </w:pPr>
      <w:r w:rsidRPr="00392C84">
        <w:t xml:space="preserve">이 표는 모형 2-5의 결과를 보여준다. 각 모형은 식 (1)-(5)에 나타나 있다. 모형 2는 추가적으로 투자자 그룹의 거래강도가 포함된다. 모형 3은 투자자그룹 거래강도가 내재변동성의 </w:t>
      </w:r>
      <w:proofErr w:type="spellStart"/>
      <w:r w:rsidRPr="00392C84">
        <w:t>차분값에</w:t>
      </w:r>
      <w:proofErr w:type="spellEnd"/>
      <w:r w:rsidRPr="00392C84">
        <w:t xml:space="preserve"> 미치는 영향을 검증하며, 모형 4는 거래강도가 미래변동성에 미치는 영향을 검증한다. 마지막으로 모형 5는 내재변동성 변화가 거래강도에 미치는 영향을 분석한다. 괄호 안의 값은 이분산성과 자기상관성을 고려한, </w:t>
      </w:r>
      <w:proofErr w:type="spellStart"/>
      <w:r w:rsidRPr="00392C84">
        <w:t>Newey</w:t>
      </w:r>
      <w:proofErr w:type="spellEnd"/>
      <w:r w:rsidRPr="00392C84">
        <w:t xml:space="preserve">-West HAC </w:t>
      </w:r>
      <w:proofErr w:type="spellStart"/>
      <w:r w:rsidRPr="00392C84">
        <w:t>공분산</w:t>
      </w:r>
      <w:proofErr w:type="spellEnd"/>
      <w:r w:rsidRPr="00392C84">
        <w:t xml:space="preserve"> 방법을 사용하여 계산된 t-통계량이다. *, **, *** 는 각각 10%, 5%, 1%의 신뢰수준 유의성을 나타낸다.</w:t>
      </w:r>
    </w:p>
    <w:tbl>
      <w:tblPr>
        <w:tblStyle w:val="ac"/>
        <w:tblW w:w="5000" w:type="pct"/>
        <w:tblBorders>
          <w:left w:val="none" w:sz="0" w:space="0" w:color="auto"/>
          <w:right w:val="none" w:sz="0" w:space="0" w:color="auto"/>
          <w:insideH w:val="none" w:sz="0" w:space="0" w:color="auto"/>
          <w:insideV w:val="none" w:sz="0" w:space="0" w:color="auto"/>
        </w:tblBorders>
        <w:tblLook w:val="04A0"/>
      </w:tblPr>
      <w:tblGrid>
        <w:gridCol w:w="1252"/>
        <w:gridCol w:w="1588"/>
        <w:gridCol w:w="1701"/>
        <w:gridCol w:w="1684"/>
        <w:gridCol w:w="1431"/>
        <w:gridCol w:w="1586"/>
      </w:tblGrid>
      <w:tr w:rsidR="00392C84" w:rsidRPr="00392C84" w:rsidTr="00392C84">
        <w:tc>
          <w:tcPr>
            <w:tcW w:w="677" w:type="pct"/>
            <w:tcBorders>
              <w:top w:val="single" w:sz="4" w:space="0" w:color="auto"/>
              <w:bottom w:val="single" w:sz="4" w:space="0" w:color="auto"/>
            </w:tcBorders>
            <w:vAlign w:val="center"/>
          </w:tcPr>
          <w:p w:rsidR="00392C84" w:rsidRPr="00392C84" w:rsidRDefault="00392C84" w:rsidP="00392C84"/>
        </w:tc>
        <w:tc>
          <w:tcPr>
            <w:tcW w:w="859" w:type="pct"/>
            <w:tcBorders>
              <w:top w:val="single" w:sz="4" w:space="0" w:color="auto"/>
              <w:bottom w:val="single" w:sz="4" w:space="0" w:color="auto"/>
            </w:tcBorders>
            <w:vAlign w:val="center"/>
          </w:tcPr>
          <w:p w:rsidR="00392C84" w:rsidRPr="00392C84" w:rsidRDefault="00392C84" w:rsidP="00392C84">
            <w:r w:rsidRPr="00392C84">
              <w:t>Constant</w:t>
            </w:r>
          </w:p>
        </w:tc>
        <w:tc>
          <w:tcPr>
            <w:tcW w:w="920" w:type="pct"/>
            <w:tcBorders>
              <w:top w:val="single" w:sz="4" w:space="0" w:color="auto"/>
              <w:bottom w:val="single" w:sz="4" w:space="0" w:color="auto"/>
            </w:tcBorders>
            <w:vAlign w:val="center"/>
          </w:tcPr>
          <w:p w:rsidR="00392C84" w:rsidRPr="00392C84" w:rsidRDefault="005654BA" w:rsidP="00392C84">
            <m:oMathPara>
              <m:oMath>
                <m:sSub>
                  <m:sSubPr>
                    <m:ctrlPr>
                      <w:rPr>
                        <w:rFonts w:ascii="Cambria Math" w:hAnsi="Cambria Math"/>
                      </w:rPr>
                    </m:ctrlPr>
                  </m:sSubPr>
                  <m:e>
                    <m:r>
                      <m:rPr>
                        <m:sty m:val="p"/>
                      </m:rPr>
                      <w:rPr>
                        <w:rFonts w:ascii="Cambria Math" w:hAnsi="Cambria Math"/>
                      </w:rPr>
                      <m:t>IV</m:t>
                    </m:r>
                  </m:e>
                  <m:sub>
                    <m:d>
                      <m:dPr>
                        <m:begChr m:val="{"/>
                        <m:endChr m:val="}"/>
                        <m:ctrlPr>
                          <w:rPr>
                            <w:rFonts w:ascii="Cambria Math" w:hAnsi="Cambria Math"/>
                          </w:rPr>
                        </m:ctrlPr>
                      </m:dPr>
                      <m:e>
                        <m:r>
                          <m:rPr>
                            <m:sty m:val="p"/>
                          </m:rPr>
                          <w:rPr>
                            <w:rFonts w:ascii="Cambria Math" w:hAnsi="Cambria Math"/>
                          </w:rPr>
                          <m:t>t-1</m:t>
                        </m:r>
                      </m:e>
                    </m:d>
                  </m:sub>
                </m:sSub>
                <m:r>
                  <w:rPr>
                    <w:rFonts w:ascii="Cambria Math" w:hAnsi="Cambria Math"/>
                  </w:rPr>
                  <m:t xml:space="preserve"> or </m:t>
                </m:r>
                <m:r>
                  <m:rPr>
                    <m:sty m:val="p"/>
                  </m:rPr>
                  <w:rPr>
                    <w:rFonts w:ascii="Cambria Math" w:hAnsi="Cambria Math"/>
                  </w:rPr>
                  <m:t>Δ</m:t>
                </m:r>
                <m:r>
                  <w:rPr>
                    <w:rFonts w:ascii="Cambria Math" w:hAnsi="Cambria Math"/>
                  </w:rPr>
                  <m:t>I</m:t>
                </m:r>
                <m:sSub>
                  <m:sSubPr>
                    <m:ctrlPr>
                      <w:rPr>
                        <w:rFonts w:ascii="Cambria Math" w:hAnsi="Cambria Math"/>
                        <w:i/>
                      </w:rPr>
                    </m:ctrlPr>
                  </m:sSubPr>
                  <m:e>
                    <m:r>
                      <w:rPr>
                        <w:rFonts w:ascii="Cambria Math" w:hAnsi="Cambria Math"/>
                      </w:rPr>
                      <m:t>V</m:t>
                    </m:r>
                  </m:e>
                  <m:sub>
                    <m:d>
                      <m:dPr>
                        <m:begChr m:val="{"/>
                        <m:endChr m:val="}"/>
                        <m:ctrlPr>
                          <w:rPr>
                            <w:rFonts w:ascii="Cambria Math" w:hAnsi="Cambria Math"/>
                            <w:i/>
                          </w:rPr>
                        </m:ctrlPr>
                      </m:dPr>
                      <m:e>
                        <m:r>
                          <w:rPr>
                            <w:rFonts w:ascii="Cambria Math" w:hAnsi="Cambria Math"/>
                          </w:rPr>
                          <m:t>t-1</m:t>
                        </m:r>
                      </m:e>
                    </m:d>
                  </m:sub>
                </m:sSub>
              </m:oMath>
            </m:oMathPara>
          </w:p>
        </w:tc>
        <w:tc>
          <w:tcPr>
            <w:tcW w:w="911" w:type="pct"/>
            <w:tcBorders>
              <w:top w:val="single" w:sz="4" w:space="0" w:color="auto"/>
              <w:bottom w:val="single" w:sz="4" w:space="0" w:color="auto"/>
            </w:tcBorders>
            <w:vAlign w:val="center"/>
          </w:tcPr>
          <w:p w:rsidR="00392C84" w:rsidRPr="00392C84" w:rsidRDefault="00392C84" w:rsidP="00392C84">
            <w:r w:rsidRPr="00392C84">
              <w:t>Foreign investors(t)</w:t>
            </w:r>
          </w:p>
        </w:tc>
        <w:tc>
          <w:tcPr>
            <w:tcW w:w="774" w:type="pct"/>
            <w:tcBorders>
              <w:top w:val="single" w:sz="4" w:space="0" w:color="auto"/>
              <w:bottom w:val="single" w:sz="4" w:space="0" w:color="auto"/>
            </w:tcBorders>
            <w:vAlign w:val="center"/>
          </w:tcPr>
          <w:p w:rsidR="00392C84" w:rsidRPr="00392C84" w:rsidRDefault="00392C84" w:rsidP="00392C84">
            <w:r w:rsidRPr="00392C84">
              <w:t>R-squared</w:t>
            </w:r>
          </w:p>
        </w:tc>
        <w:tc>
          <w:tcPr>
            <w:tcW w:w="858" w:type="pct"/>
            <w:tcBorders>
              <w:top w:val="single" w:sz="4" w:space="0" w:color="auto"/>
              <w:bottom w:val="single" w:sz="4" w:space="0" w:color="auto"/>
            </w:tcBorders>
            <w:vAlign w:val="center"/>
          </w:tcPr>
          <w:p w:rsidR="00392C84" w:rsidRPr="00392C84" w:rsidRDefault="00392C84" w:rsidP="00392C84">
            <w:r w:rsidRPr="00392C84">
              <w:t>Adj. R-squared</w:t>
            </w:r>
          </w:p>
        </w:tc>
      </w:tr>
      <w:tr w:rsidR="00392C84" w:rsidRPr="00392C84" w:rsidTr="00392C84">
        <w:trPr>
          <w:trHeight w:val="74"/>
        </w:trPr>
        <w:tc>
          <w:tcPr>
            <w:tcW w:w="677" w:type="pct"/>
            <w:vMerge w:val="restart"/>
            <w:vAlign w:val="center"/>
          </w:tcPr>
          <w:p w:rsidR="00392C84" w:rsidRPr="00392C84" w:rsidRDefault="00392C84" w:rsidP="00392C84">
            <w:r w:rsidRPr="00392C84">
              <w:t>Model 2</w:t>
            </w:r>
          </w:p>
        </w:tc>
        <w:tc>
          <w:tcPr>
            <w:tcW w:w="859" w:type="pct"/>
            <w:vAlign w:val="center"/>
          </w:tcPr>
          <w:p w:rsidR="00392C84" w:rsidRPr="00392C84" w:rsidRDefault="00392C84" w:rsidP="00392C84">
            <w:r w:rsidRPr="00392C84">
              <w:t>1.5259</w:t>
            </w:r>
          </w:p>
        </w:tc>
        <w:tc>
          <w:tcPr>
            <w:tcW w:w="920" w:type="pct"/>
            <w:vAlign w:val="center"/>
          </w:tcPr>
          <w:p w:rsidR="00392C84" w:rsidRPr="00392C84" w:rsidRDefault="00392C84" w:rsidP="00392C84">
            <w:r w:rsidRPr="00392C84">
              <w:t>0.9546</w:t>
            </w:r>
          </w:p>
        </w:tc>
        <w:tc>
          <w:tcPr>
            <w:tcW w:w="911" w:type="pct"/>
            <w:vAlign w:val="center"/>
          </w:tcPr>
          <w:p w:rsidR="00392C84" w:rsidRPr="00392C84" w:rsidRDefault="00392C84" w:rsidP="00392C84">
            <w:r w:rsidRPr="00392C84">
              <w:t>-3.30E-06</w:t>
            </w:r>
          </w:p>
        </w:tc>
        <w:tc>
          <w:tcPr>
            <w:tcW w:w="774" w:type="pct"/>
            <w:vMerge w:val="restart"/>
            <w:vAlign w:val="center"/>
          </w:tcPr>
          <w:p w:rsidR="00392C84" w:rsidRPr="00392C84" w:rsidRDefault="00392C84" w:rsidP="00392C84">
            <w:r w:rsidRPr="00392C84">
              <w:t>0.9100</w:t>
            </w:r>
          </w:p>
        </w:tc>
        <w:tc>
          <w:tcPr>
            <w:tcW w:w="858" w:type="pct"/>
            <w:vMerge w:val="restart"/>
            <w:vAlign w:val="center"/>
          </w:tcPr>
          <w:p w:rsidR="00392C84" w:rsidRPr="00392C84" w:rsidRDefault="00392C84" w:rsidP="00392C84">
            <w:r w:rsidRPr="00392C84">
              <w:t>0.9095</w:t>
            </w:r>
          </w:p>
        </w:tc>
      </w:tr>
      <w:tr w:rsidR="00392C84" w:rsidRPr="00392C84" w:rsidTr="00392C84">
        <w:trPr>
          <w:trHeight w:val="74"/>
        </w:trPr>
        <w:tc>
          <w:tcPr>
            <w:tcW w:w="677" w:type="pct"/>
            <w:vMerge/>
            <w:vAlign w:val="center"/>
          </w:tcPr>
          <w:p w:rsidR="00392C84" w:rsidRPr="00392C84" w:rsidRDefault="00392C84" w:rsidP="00392C84"/>
        </w:tc>
        <w:tc>
          <w:tcPr>
            <w:tcW w:w="859" w:type="pct"/>
            <w:vAlign w:val="center"/>
          </w:tcPr>
          <w:p w:rsidR="00392C84" w:rsidRPr="00392C84" w:rsidRDefault="00392C84" w:rsidP="00392C84">
            <w:r w:rsidRPr="00392C84">
              <w:t>(2.26)**</w:t>
            </w:r>
          </w:p>
        </w:tc>
        <w:tc>
          <w:tcPr>
            <w:tcW w:w="920" w:type="pct"/>
            <w:vAlign w:val="center"/>
          </w:tcPr>
          <w:p w:rsidR="00392C84" w:rsidRPr="00392C84" w:rsidRDefault="00392C84" w:rsidP="00392C84">
            <w:r w:rsidRPr="00392C84">
              <w:t>(34.92)***</w:t>
            </w:r>
          </w:p>
        </w:tc>
        <w:tc>
          <w:tcPr>
            <w:tcW w:w="911" w:type="pct"/>
            <w:vAlign w:val="center"/>
          </w:tcPr>
          <w:p w:rsidR="00392C84" w:rsidRPr="00392C84" w:rsidRDefault="00392C84" w:rsidP="00392C84">
            <w:r w:rsidRPr="00392C84">
              <w:t>(-1.94)*</w:t>
            </w:r>
          </w:p>
        </w:tc>
        <w:tc>
          <w:tcPr>
            <w:tcW w:w="774" w:type="pct"/>
            <w:vMerge/>
            <w:vAlign w:val="center"/>
          </w:tcPr>
          <w:p w:rsidR="00392C84" w:rsidRPr="00392C84" w:rsidRDefault="00392C84" w:rsidP="00392C84"/>
        </w:tc>
        <w:tc>
          <w:tcPr>
            <w:tcW w:w="858" w:type="pct"/>
            <w:vMerge/>
            <w:vAlign w:val="center"/>
          </w:tcPr>
          <w:p w:rsidR="00392C84" w:rsidRPr="00392C84" w:rsidRDefault="00392C84" w:rsidP="00392C84"/>
        </w:tc>
      </w:tr>
      <w:tr w:rsidR="00392C84" w:rsidRPr="00392C84" w:rsidTr="00392C84">
        <w:trPr>
          <w:trHeight w:val="143"/>
        </w:trPr>
        <w:tc>
          <w:tcPr>
            <w:tcW w:w="677" w:type="pct"/>
            <w:vMerge w:val="restart"/>
            <w:vAlign w:val="center"/>
          </w:tcPr>
          <w:p w:rsidR="00392C84" w:rsidRPr="00392C84" w:rsidRDefault="00392C84" w:rsidP="00392C84">
            <w:r w:rsidRPr="00392C84">
              <w:t>Model 3</w:t>
            </w:r>
          </w:p>
        </w:tc>
        <w:tc>
          <w:tcPr>
            <w:tcW w:w="859" w:type="pct"/>
            <w:vAlign w:val="center"/>
          </w:tcPr>
          <w:p w:rsidR="00392C84" w:rsidRPr="00392C84" w:rsidRDefault="00392C84" w:rsidP="00392C84">
            <w:r w:rsidRPr="00392C84">
              <w:t>0.4088</w:t>
            </w:r>
          </w:p>
        </w:tc>
        <w:tc>
          <w:tcPr>
            <w:tcW w:w="920" w:type="pct"/>
            <w:vAlign w:val="center"/>
          </w:tcPr>
          <w:p w:rsidR="00392C84" w:rsidRPr="00392C84" w:rsidRDefault="00392C84" w:rsidP="00392C84">
            <w:r w:rsidRPr="00392C84">
              <w:t>-0.0769</w:t>
            </w:r>
          </w:p>
        </w:tc>
        <w:tc>
          <w:tcPr>
            <w:tcW w:w="911" w:type="pct"/>
            <w:vAlign w:val="center"/>
          </w:tcPr>
          <w:p w:rsidR="00392C84" w:rsidRPr="00392C84" w:rsidRDefault="00392C84" w:rsidP="00392C84">
            <w:r w:rsidRPr="00392C84">
              <w:t>-3.52E-06</w:t>
            </w:r>
          </w:p>
        </w:tc>
        <w:tc>
          <w:tcPr>
            <w:tcW w:w="774" w:type="pct"/>
            <w:vMerge w:val="restart"/>
            <w:vAlign w:val="center"/>
          </w:tcPr>
          <w:p w:rsidR="00392C84" w:rsidRPr="00392C84" w:rsidRDefault="00392C84" w:rsidP="00392C84">
            <w:r w:rsidRPr="00392C84">
              <w:t>0.0322</w:t>
            </w:r>
          </w:p>
        </w:tc>
        <w:tc>
          <w:tcPr>
            <w:tcW w:w="858" w:type="pct"/>
            <w:vMerge w:val="restart"/>
            <w:vAlign w:val="center"/>
          </w:tcPr>
          <w:p w:rsidR="00392C84" w:rsidRPr="00392C84" w:rsidRDefault="00392C84" w:rsidP="00392C84">
            <w:r w:rsidRPr="00392C84">
              <w:t>0.0273</w:t>
            </w:r>
          </w:p>
        </w:tc>
      </w:tr>
      <w:tr w:rsidR="00392C84" w:rsidRPr="00392C84" w:rsidTr="00392C84">
        <w:trPr>
          <w:trHeight w:val="143"/>
        </w:trPr>
        <w:tc>
          <w:tcPr>
            <w:tcW w:w="677" w:type="pct"/>
            <w:vMerge/>
            <w:vAlign w:val="center"/>
          </w:tcPr>
          <w:p w:rsidR="00392C84" w:rsidRPr="00392C84" w:rsidRDefault="00392C84" w:rsidP="00392C84"/>
        </w:tc>
        <w:tc>
          <w:tcPr>
            <w:tcW w:w="859" w:type="pct"/>
            <w:vAlign w:val="center"/>
          </w:tcPr>
          <w:p w:rsidR="00392C84" w:rsidRPr="00392C84" w:rsidRDefault="00392C84" w:rsidP="00392C84">
            <w:r w:rsidRPr="00392C84">
              <w:t>(1.60)</w:t>
            </w:r>
          </w:p>
        </w:tc>
        <w:tc>
          <w:tcPr>
            <w:tcW w:w="920" w:type="pct"/>
            <w:vAlign w:val="center"/>
          </w:tcPr>
          <w:p w:rsidR="00392C84" w:rsidRPr="00392C84" w:rsidRDefault="00392C84" w:rsidP="00392C84">
            <w:r w:rsidRPr="00392C84">
              <w:t>(-1.08)</w:t>
            </w:r>
          </w:p>
        </w:tc>
        <w:tc>
          <w:tcPr>
            <w:tcW w:w="911" w:type="pct"/>
            <w:vAlign w:val="center"/>
          </w:tcPr>
          <w:p w:rsidR="00392C84" w:rsidRPr="00392C84" w:rsidRDefault="00392C84" w:rsidP="00392C84">
            <w:r w:rsidRPr="00392C84">
              <w:t>(-2.04)**</w:t>
            </w:r>
          </w:p>
        </w:tc>
        <w:tc>
          <w:tcPr>
            <w:tcW w:w="774" w:type="pct"/>
            <w:vMerge/>
            <w:vAlign w:val="center"/>
          </w:tcPr>
          <w:p w:rsidR="00392C84" w:rsidRPr="00392C84" w:rsidRDefault="00392C84" w:rsidP="00392C84"/>
        </w:tc>
        <w:tc>
          <w:tcPr>
            <w:tcW w:w="858" w:type="pct"/>
            <w:vMerge/>
            <w:vAlign w:val="center"/>
          </w:tcPr>
          <w:p w:rsidR="00392C84" w:rsidRPr="00392C84" w:rsidRDefault="00392C84" w:rsidP="00392C84"/>
        </w:tc>
      </w:tr>
      <w:tr w:rsidR="00392C84" w:rsidRPr="00392C84" w:rsidTr="00392C84">
        <w:trPr>
          <w:trHeight w:val="74"/>
        </w:trPr>
        <w:tc>
          <w:tcPr>
            <w:tcW w:w="677" w:type="pct"/>
            <w:vMerge w:val="restart"/>
            <w:vAlign w:val="center"/>
          </w:tcPr>
          <w:p w:rsidR="00392C84" w:rsidRPr="00392C84" w:rsidRDefault="00392C84" w:rsidP="00392C84">
            <w:r w:rsidRPr="00392C84">
              <w:t>Model 4</w:t>
            </w:r>
          </w:p>
        </w:tc>
        <w:tc>
          <w:tcPr>
            <w:tcW w:w="859" w:type="pct"/>
            <w:vAlign w:val="center"/>
          </w:tcPr>
          <w:p w:rsidR="00392C84" w:rsidRPr="00392C84" w:rsidRDefault="00392C84" w:rsidP="00392C84">
            <w:r w:rsidRPr="00392C84">
              <w:t>1.3526</w:t>
            </w:r>
          </w:p>
        </w:tc>
        <w:tc>
          <w:tcPr>
            <w:tcW w:w="920" w:type="pct"/>
            <w:vAlign w:val="center"/>
          </w:tcPr>
          <w:p w:rsidR="00392C84" w:rsidRPr="00392C84" w:rsidRDefault="00392C84" w:rsidP="00392C84">
            <w:r w:rsidRPr="00392C84">
              <w:t>0.9523</w:t>
            </w:r>
          </w:p>
        </w:tc>
        <w:tc>
          <w:tcPr>
            <w:tcW w:w="911" w:type="pct"/>
            <w:vAlign w:val="center"/>
          </w:tcPr>
          <w:p w:rsidR="00392C84" w:rsidRPr="00392C84" w:rsidRDefault="00392C84" w:rsidP="00392C84">
            <w:r w:rsidRPr="00392C84">
              <w:t>-1.23E-06</w:t>
            </w:r>
          </w:p>
        </w:tc>
        <w:tc>
          <w:tcPr>
            <w:tcW w:w="774" w:type="pct"/>
            <w:vMerge w:val="restart"/>
            <w:vAlign w:val="center"/>
          </w:tcPr>
          <w:p w:rsidR="00392C84" w:rsidRPr="00392C84" w:rsidRDefault="00392C84" w:rsidP="00392C84">
            <w:r w:rsidRPr="00392C84">
              <w:t>0.908</w:t>
            </w:r>
          </w:p>
        </w:tc>
        <w:tc>
          <w:tcPr>
            <w:tcW w:w="858" w:type="pct"/>
            <w:vMerge w:val="restart"/>
            <w:vAlign w:val="center"/>
          </w:tcPr>
          <w:p w:rsidR="00392C84" w:rsidRPr="00392C84" w:rsidRDefault="00392C84" w:rsidP="00392C84">
            <w:r w:rsidRPr="00392C84">
              <w:t>0.9075</w:t>
            </w:r>
          </w:p>
        </w:tc>
      </w:tr>
      <w:tr w:rsidR="00392C84" w:rsidRPr="00392C84" w:rsidTr="00392C84">
        <w:trPr>
          <w:trHeight w:val="74"/>
        </w:trPr>
        <w:tc>
          <w:tcPr>
            <w:tcW w:w="677" w:type="pct"/>
            <w:vMerge/>
            <w:vAlign w:val="center"/>
          </w:tcPr>
          <w:p w:rsidR="00392C84" w:rsidRPr="00392C84" w:rsidRDefault="00392C84" w:rsidP="00392C84"/>
        </w:tc>
        <w:tc>
          <w:tcPr>
            <w:tcW w:w="859" w:type="pct"/>
            <w:vAlign w:val="center"/>
          </w:tcPr>
          <w:p w:rsidR="00392C84" w:rsidRPr="00392C84" w:rsidRDefault="00392C84" w:rsidP="00392C84">
            <w:r w:rsidRPr="00392C84">
              <w:t>(1.97)**</w:t>
            </w:r>
          </w:p>
        </w:tc>
        <w:tc>
          <w:tcPr>
            <w:tcW w:w="920" w:type="pct"/>
            <w:vAlign w:val="center"/>
          </w:tcPr>
          <w:p w:rsidR="00392C84" w:rsidRPr="00392C84" w:rsidRDefault="00392C84" w:rsidP="00392C84">
            <w:r w:rsidRPr="00392C84">
              <w:t>(34.55)***</w:t>
            </w:r>
          </w:p>
        </w:tc>
        <w:tc>
          <w:tcPr>
            <w:tcW w:w="911" w:type="pct"/>
            <w:vAlign w:val="center"/>
          </w:tcPr>
          <w:p w:rsidR="00392C84" w:rsidRPr="00392C84" w:rsidRDefault="00392C84" w:rsidP="00392C84">
            <w:r w:rsidRPr="00392C84">
              <w:t>(-0.66)</w:t>
            </w:r>
          </w:p>
        </w:tc>
        <w:tc>
          <w:tcPr>
            <w:tcW w:w="774" w:type="pct"/>
            <w:vMerge/>
            <w:vAlign w:val="center"/>
          </w:tcPr>
          <w:p w:rsidR="00392C84" w:rsidRPr="00392C84" w:rsidRDefault="00392C84" w:rsidP="00392C84"/>
        </w:tc>
        <w:tc>
          <w:tcPr>
            <w:tcW w:w="858" w:type="pct"/>
            <w:vMerge/>
            <w:vAlign w:val="center"/>
          </w:tcPr>
          <w:p w:rsidR="00392C84" w:rsidRPr="00392C84" w:rsidRDefault="00392C84" w:rsidP="00392C84"/>
        </w:tc>
      </w:tr>
      <w:tr w:rsidR="00392C84" w:rsidRPr="00392C84" w:rsidTr="00392C84">
        <w:trPr>
          <w:trHeight w:val="74"/>
        </w:trPr>
        <w:tc>
          <w:tcPr>
            <w:tcW w:w="677" w:type="pct"/>
            <w:vMerge w:val="restart"/>
            <w:vAlign w:val="center"/>
          </w:tcPr>
          <w:p w:rsidR="00392C84" w:rsidRPr="00392C84" w:rsidRDefault="00392C84" w:rsidP="00392C84">
            <w:r w:rsidRPr="00392C84">
              <w:t>Model 5</w:t>
            </w:r>
          </w:p>
        </w:tc>
        <w:tc>
          <w:tcPr>
            <w:tcW w:w="859" w:type="pct"/>
            <w:vAlign w:val="center"/>
          </w:tcPr>
          <w:p w:rsidR="00392C84" w:rsidRPr="00392C84" w:rsidRDefault="00392C84" w:rsidP="00392C84">
            <w:r w:rsidRPr="00392C84">
              <w:t>89467.06</w:t>
            </w:r>
          </w:p>
        </w:tc>
        <w:tc>
          <w:tcPr>
            <w:tcW w:w="920" w:type="pct"/>
            <w:vAlign w:val="center"/>
          </w:tcPr>
          <w:p w:rsidR="00392C84" w:rsidRPr="00392C84" w:rsidRDefault="00392C84" w:rsidP="00392C84">
            <w:r w:rsidRPr="00392C84">
              <w:t>624.68</w:t>
            </w:r>
          </w:p>
        </w:tc>
        <w:tc>
          <w:tcPr>
            <w:tcW w:w="911" w:type="pct"/>
            <w:vAlign w:val="center"/>
          </w:tcPr>
          <w:p w:rsidR="00392C84" w:rsidRPr="00392C84" w:rsidRDefault="00392C84" w:rsidP="00392C84">
            <w:r w:rsidRPr="00392C84">
              <w:t>0.0560</w:t>
            </w:r>
          </w:p>
        </w:tc>
        <w:tc>
          <w:tcPr>
            <w:tcW w:w="774" w:type="pct"/>
            <w:vMerge w:val="restart"/>
            <w:vAlign w:val="center"/>
          </w:tcPr>
          <w:p w:rsidR="00392C84" w:rsidRPr="00392C84" w:rsidRDefault="00392C84" w:rsidP="00392C84">
            <w:r w:rsidRPr="00392C84">
              <w:t>0.005</w:t>
            </w:r>
          </w:p>
        </w:tc>
        <w:tc>
          <w:tcPr>
            <w:tcW w:w="858" w:type="pct"/>
            <w:vMerge w:val="restart"/>
            <w:vAlign w:val="center"/>
          </w:tcPr>
          <w:p w:rsidR="00392C84" w:rsidRPr="00392C84" w:rsidRDefault="00392C84" w:rsidP="00392C84">
            <w:r w:rsidRPr="00392C84">
              <w:t>0.0000</w:t>
            </w:r>
          </w:p>
        </w:tc>
      </w:tr>
      <w:tr w:rsidR="00392C84" w:rsidRPr="00392C84" w:rsidTr="00392C84">
        <w:trPr>
          <w:trHeight w:val="74"/>
        </w:trPr>
        <w:tc>
          <w:tcPr>
            <w:tcW w:w="677" w:type="pct"/>
            <w:vMerge/>
            <w:vAlign w:val="center"/>
          </w:tcPr>
          <w:p w:rsidR="00392C84" w:rsidRPr="00392C84" w:rsidRDefault="00392C84" w:rsidP="00392C84"/>
        </w:tc>
        <w:tc>
          <w:tcPr>
            <w:tcW w:w="859" w:type="pct"/>
            <w:vAlign w:val="center"/>
          </w:tcPr>
          <w:p w:rsidR="00392C84" w:rsidRPr="00392C84" w:rsidRDefault="00392C84" w:rsidP="00392C84">
            <w:r w:rsidRPr="00392C84">
              <w:t>(4.83)***</w:t>
            </w:r>
          </w:p>
        </w:tc>
        <w:tc>
          <w:tcPr>
            <w:tcW w:w="920" w:type="pct"/>
            <w:vAlign w:val="center"/>
          </w:tcPr>
          <w:p w:rsidR="00392C84" w:rsidRPr="00392C84" w:rsidRDefault="00392C84" w:rsidP="00392C84">
            <w:r w:rsidRPr="00392C84">
              <w:t>(1.11)</w:t>
            </w:r>
          </w:p>
        </w:tc>
        <w:tc>
          <w:tcPr>
            <w:tcW w:w="911" w:type="pct"/>
            <w:vAlign w:val="center"/>
          </w:tcPr>
          <w:p w:rsidR="00392C84" w:rsidRPr="00392C84" w:rsidRDefault="00392C84" w:rsidP="00392C84">
            <w:r w:rsidRPr="00392C84">
              <w:t>(0.89)</w:t>
            </w:r>
          </w:p>
        </w:tc>
        <w:tc>
          <w:tcPr>
            <w:tcW w:w="774" w:type="pct"/>
            <w:vMerge/>
            <w:vAlign w:val="center"/>
          </w:tcPr>
          <w:p w:rsidR="00392C84" w:rsidRPr="00392C84" w:rsidRDefault="00392C84" w:rsidP="00392C84"/>
        </w:tc>
        <w:tc>
          <w:tcPr>
            <w:tcW w:w="858" w:type="pct"/>
            <w:vMerge/>
            <w:vAlign w:val="center"/>
          </w:tcPr>
          <w:p w:rsidR="00392C84" w:rsidRPr="00392C84" w:rsidRDefault="00392C84" w:rsidP="00392C84"/>
        </w:tc>
      </w:tr>
    </w:tbl>
    <w:p w:rsidR="00392C84" w:rsidRPr="00392C84" w:rsidRDefault="00392C84" w:rsidP="00392C84"/>
    <w:p w:rsidR="00392C84" w:rsidRDefault="00392C84" w:rsidP="00CF6042">
      <w:pPr>
        <w:spacing w:line="276" w:lineRule="auto"/>
      </w:pPr>
    </w:p>
    <w:p w:rsidR="008E0B75" w:rsidRDefault="008E0B75" w:rsidP="00CF6042">
      <w:pPr>
        <w:spacing w:line="276" w:lineRule="auto"/>
      </w:pPr>
    </w:p>
    <w:p w:rsidR="002C7D06" w:rsidRPr="004C0A5F" w:rsidRDefault="002C7D06">
      <w:pPr>
        <w:rPr>
          <w:b/>
          <w:sz w:val="24"/>
        </w:rPr>
      </w:pPr>
      <w:r w:rsidRPr="004C0A5F">
        <w:rPr>
          <w:rFonts w:hint="eastAsia"/>
          <w:b/>
          <w:sz w:val="24"/>
        </w:rPr>
        <w:t>4.</w:t>
      </w:r>
      <w:r w:rsidR="00392C84">
        <w:rPr>
          <w:rFonts w:hint="eastAsia"/>
          <w:b/>
          <w:sz w:val="24"/>
        </w:rPr>
        <w:t>2</w:t>
      </w:r>
      <w:r w:rsidRPr="004C0A5F">
        <w:rPr>
          <w:rFonts w:hint="eastAsia"/>
          <w:b/>
          <w:sz w:val="24"/>
        </w:rPr>
        <w:t xml:space="preserve"> 기관</w:t>
      </w:r>
      <w:r w:rsidR="008E0B75" w:rsidRPr="004C0A5F">
        <w:rPr>
          <w:rFonts w:asciiTheme="minorEastAsia" w:hAnsiTheme="minorEastAsia" w:hint="eastAsia"/>
          <w:b/>
          <w:sz w:val="24"/>
        </w:rPr>
        <w:t>·</w:t>
      </w:r>
      <w:r w:rsidR="008E0B75" w:rsidRPr="004C0A5F">
        <w:rPr>
          <w:rFonts w:hint="eastAsia"/>
          <w:b/>
          <w:sz w:val="24"/>
        </w:rPr>
        <w:t xml:space="preserve">외국인 </w:t>
      </w:r>
      <w:r w:rsidRPr="004C0A5F">
        <w:rPr>
          <w:rFonts w:hint="eastAsia"/>
          <w:b/>
          <w:sz w:val="24"/>
        </w:rPr>
        <w:t>투자자의 거래와 변동성의 전</w:t>
      </w:r>
      <w:r w:rsidRPr="004C0A5F">
        <w:rPr>
          <w:rFonts w:asciiTheme="minorEastAsia" w:hAnsiTheme="minorEastAsia" w:hint="eastAsia"/>
          <w:b/>
          <w:sz w:val="24"/>
        </w:rPr>
        <w:t>·</w:t>
      </w:r>
      <w:r w:rsidRPr="004C0A5F">
        <w:rPr>
          <w:rFonts w:hint="eastAsia"/>
          <w:b/>
          <w:sz w:val="24"/>
        </w:rPr>
        <w:t>후 변화</w:t>
      </w:r>
    </w:p>
    <w:p w:rsidR="00290146" w:rsidRDefault="001B3DC3" w:rsidP="001B3DC3">
      <w:pPr>
        <w:spacing w:line="276" w:lineRule="auto"/>
        <w:ind w:firstLineChars="100" w:firstLine="200"/>
      </w:pPr>
      <w:r>
        <w:rPr>
          <w:rFonts w:hint="eastAsia"/>
        </w:rPr>
        <w:t xml:space="preserve">본 장에서는 국내기관투자자와 외국인기관투자자의 변동성 거래전략의 차이점을 확인하기 위해 각 거래주체의 거래 전후의 변동성 움직임을 분석한다. </w:t>
      </w:r>
      <w:proofErr w:type="spellStart"/>
      <w:r>
        <w:rPr>
          <w:rFonts w:hint="eastAsia"/>
        </w:rPr>
        <w:t>Kaniel</w:t>
      </w:r>
      <w:proofErr w:type="spellEnd"/>
      <w:r>
        <w:rPr>
          <w:rFonts w:hint="eastAsia"/>
        </w:rPr>
        <w:t xml:space="preserve"> et al</w:t>
      </w:r>
      <w:proofErr w:type="gramStart"/>
      <w:r>
        <w:rPr>
          <w:rFonts w:hint="eastAsia"/>
        </w:rPr>
        <w:t>.(</w:t>
      </w:r>
      <w:proofErr w:type="gramEnd"/>
      <w:r>
        <w:rPr>
          <w:rFonts w:hint="eastAsia"/>
        </w:rPr>
        <w:t xml:space="preserve">2008) </w:t>
      </w:r>
      <w:r>
        <w:t>등에서</w:t>
      </w:r>
      <w:r>
        <w:rPr>
          <w:rFonts w:hint="eastAsia"/>
        </w:rPr>
        <w:t xml:space="preserve"> 확인한 바와 같이 특정 거래주체의 매수 및 매도거래와 변동성 사이에 비대칭적인 관련성이 있을 수 있을 뿐만 아니라 언제 변동성 거래를 수행하는지 판단하기 위해서는 전후 변동성의 움직임을 확인해야 한다. 이를 위해 거래강도에 따라 기간을 나누고 거래강도가 강했던 기간에서 전후 변동성이 어떻게 변동했는지 관찰한다. 자세한 분석 방법은 아래와 같다.  </w:t>
      </w:r>
    </w:p>
    <w:p w:rsidR="001B3DC3" w:rsidRPr="00290146" w:rsidRDefault="001B3DC3" w:rsidP="001B3DC3">
      <w:pPr>
        <w:spacing w:line="276" w:lineRule="auto"/>
        <w:ind w:firstLineChars="100" w:firstLine="200"/>
      </w:pPr>
    </w:p>
    <w:p w:rsidR="00290146" w:rsidRPr="00290146" w:rsidRDefault="00290146" w:rsidP="00290146">
      <w:pPr>
        <w:numPr>
          <w:ilvl w:val="0"/>
          <w:numId w:val="2"/>
        </w:numPr>
        <w:spacing w:line="276" w:lineRule="auto"/>
      </w:pPr>
      <w:r w:rsidRPr="00290146">
        <w:t xml:space="preserve">분석기간 동안 </w:t>
      </w:r>
      <w:r w:rsidR="001B3DC3">
        <w:rPr>
          <w:rFonts w:hint="eastAsia"/>
        </w:rPr>
        <w:t>각 투자자 그룹</w:t>
      </w:r>
      <w:r w:rsidRPr="00290146">
        <w:t>의 거래강도(매수-매도)에 기초하여 10개의 구간으로 나눈다. 최하위 구간 (</w:t>
      </w:r>
      <w:proofErr w:type="spellStart"/>
      <w:r w:rsidRPr="00290146">
        <w:t>decile</w:t>
      </w:r>
      <w:proofErr w:type="spellEnd"/>
      <w:r w:rsidRPr="00290146">
        <w:t xml:space="preserve"> 1)은 투자자의 매도 성향이 가장 컸던 기간이며, 최상위 구간 (</w:t>
      </w:r>
      <w:proofErr w:type="spellStart"/>
      <w:r w:rsidRPr="00290146">
        <w:t>decile</w:t>
      </w:r>
      <w:proofErr w:type="spellEnd"/>
      <w:r w:rsidRPr="00290146">
        <w:t xml:space="preserve"> 10)은 매수 성향이 가장 컸던 기간이다. </w:t>
      </w:r>
    </w:p>
    <w:p w:rsidR="00290146" w:rsidRPr="00290146" w:rsidRDefault="00290146" w:rsidP="00290146">
      <w:pPr>
        <w:numPr>
          <w:ilvl w:val="0"/>
          <w:numId w:val="2"/>
        </w:numPr>
        <w:spacing w:line="276" w:lineRule="auto"/>
      </w:pPr>
      <w:r w:rsidRPr="00290146">
        <w:t>이중 하위구간(</w:t>
      </w:r>
      <w:proofErr w:type="spellStart"/>
      <w:r w:rsidRPr="00290146">
        <w:t>decile</w:t>
      </w:r>
      <w:proofErr w:type="spellEnd"/>
      <w:r w:rsidRPr="00290146">
        <w:t xml:space="preserve"> 1과 </w:t>
      </w:r>
      <w:proofErr w:type="spellStart"/>
      <w:r w:rsidRPr="00290146">
        <w:t>decile</w:t>
      </w:r>
      <w:proofErr w:type="spellEnd"/>
      <w:r w:rsidRPr="00290146">
        <w:t xml:space="preserve"> 1&amp;2)과 상위구간(</w:t>
      </w:r>
      <w:proofErr w:type="spellStart"/>
      <w:r w:rsidRPr="00290146">
        <w:t>decile</w:t>
      </w:r>
      <w:proofErr w:type="spellEnd"/>
      <w:r w:rsidRPr="00290146">
        <w:t xml:space="preserve"> 10과 </w:t>
      </w:r>
      <w:proofErr w:type="spellStart"/>
      <w:r w:rsidRPr="00290146">
        <w:t>decile</w:t>
      </w:r>
      <w:proofErr w:type="spellEnd"/>
      <w:r w:rsidRPr="00290146">
        <w:t xml:space="preserve"> 9&amp;10)에 속한 자료의 내재변동성의 1주전, 2주전, </w:t>
      </w:r>
      <w:proofErr w:type="spellStart"/>
      <w:r w:rsidRPr="00290146">
        <w:t>거래주</w:t>
      </w:r>
      <w:proofErr w:type="spellEnd"/>
      <w:r w:rsidRPr="00290146">
        <w:t>, 1</w:t>
      </w:r>
      <w:proofErr w:type="spellStart"/>
      <w:r w:rsidRPr="00290146">
        <w:t>주후</w:t>
      </w:r>
      <w:proofErr w:type="spellEnd"/>
      <w:r w:rsidRPr="00290146">
        <w:t>, 2</w:t>
      </w:r>
      <w:proofErr w:type="spellStart"/>
      <w:r w:rsidRPr="00290146">
        <w:t>주후의</w:t>
      </w:r>
      <w:proofErr w:type="spellEnd"/>
      <w:r w:rsidRPr="00290146">
        <w:t xml:space="preserve"> 누적 </w:t>
      </w:r>
      <w:proofErr w:type="spellStart"/>
      <w:r w:rsidRPr="00290146">
        <w:t>변화량을</w:t>
      </w:r>
      <w:proofErr w:type="spellEnd"/>
      <w:r w:rsidRPr="00290146">
        <w:t xml:space="preserve"> 계산한다. </w:t>
      </w:r>
    </w:p>
    <w:p w:rsidR="00290146" w:rsidRPr="00290146" w:rsidRDefault="00290146" w:rsidP="00290146">
      <w:pPr>
        <w:numPr>
          <w:ilvl w:val="0"/>
          <w:numId w:val="2"/>
        </w:numPr>
        <w:spacing w:line="276" w:lineRule="auto"/>
      </w:pPr>
      <w:r w:rsidRPr="00290146">
        <w:t xml:space="preserve">위에서 계산한 변동성 누적 </w:t>
      </w:r>
      <w:proofErr w:type="spellStart"/>
      <w:r w:rsidRPr="00290146">
        <w:t>변화량이</w:t>
      </w:r>
      <w:proofErr w:type="spellEnd"/>
      <w:r w:rsidRPr="00290146">
        <w:t xml:space="preserve"> 유의한 값을 가지는지 t-통계량을 이용해 검증한다. </w:t>
      </w:r>
    </w:p>
    <w:p w:rsidR="00290146" w:rsidRPr="00290146" w:rsidRDefault="00290146" w:rsidP="00290146">
      <w:pPr>
        <w:spacing w:line="276" w:lineRule="auto"/>
      </w:pPr>
    </w:p>
    <w:p w:rsidR="00290146" w:rsidRPr="00290146" w:rsidRDefault="001B3DC3" w:rsidP="001B3DC3">
      <w:pPr>
        <w:spacing w:line="276" w:lineRule="auto"/>
        <w:ind w:firstLineChars="100" w:firstLine="200"/>
      </w:pPr>
      <w:r>
        <w:rPr>
          <w:rFonts w:hint="eastAsia"/>
        </w:rPr>
        <w:t>국내</w:t>
      </w:r>
      <w:r w:rsidR="00131832">
        <w:rPr>
          <w:rFonts w:hint="eastAsia"/>
        </w:rPr>
        <w:t>전체</w:t>
      </w:r>
      <w:r>
        <w:rPr>
          <w:rFonts w:hint="eastAsia"/>
        </w:rPr>
        <w:t xml:space="preserve">기관투자자에 대한 위 </w:t>
      </w:r>
      <w:r w:rsidR="00290146" w:rsidRPr="00290146">
        <w:t xml:space="preserve">분석 결과는 </w:t>
      </w:r>
      <w:r>
        <w:rPr>
          <w:rFonts w:hint="eastAsia"/>
        </w:rPr>
        <w:t>&lt;</w:t>
      </w:r>
      <w:r w:rsidR="00290146" w:rsidRPr="00290146">
        <w:t>표</w:t>
      </w:r>
      <w:r>
        <w:t xml:space="preserve"> </w:t>
      </w:r>
      <w:r>
        <w:rPr>
          <w:rFonts w:hint="eastAsia"/>
        </w:rPr>
        <w:t>6&gt;</w:t>
      </w:r>
      <w:r w:rsidR="00290146" w:rsidRPr="00290146">
        <w:t xml:space="preserve">에 정리한다. </w:t>
      </w:r>
      <w:r>
        <w:rPr>
          <w:rFonts w:hint="eastAsia"/>
        </w:rPr>
        <w:t>국내기관</w:t>
      </w:r>
      <w:r w:rsidR="00290146" w:rsidRPr="00290146">
        <w:t>투자자의 변동성 매도강도가 강했던 기간(</w:t>
      </w:r>
      <w:proofErr w:type="spellStart"/>
      <w:r w:rsidR="00290146" w:rsidRPr="00290146">
        <w:t>decile</w:t>
      </w:r>
      <w:proofErr w:type="spellEnd"/>
      <w:r w:rsidR="00290146" w:rsidRPr="00290146">
        <w:t xml:space="preserve"> 1)과 매수강도가 강했던 기간(</w:t>
      </w:r>
      <w:proofErr w:type="spellStart"/>
      <w:r w:rsidR="00290146" w:rsidRPr="00290146">
        <w:t>decile</w:t>
      </w:r>
      <w:proofErr w:type="spellEnd"/>
      <w:r w:rsidR="00290146" w:rsidRPr="00290146">
        <w:t xml:space="preserve"> 10)의 동일시점 변동성 변화를 보면(K=0), 변동성변화는 모두 양의 값이었으나 통계적으로 유의하지 않았다. 매수강도와 매도강도가 강했던 기간 모두 전후의 변동성을 보더라도 유의하거나 일관성 있는 값을 관찰할 수 없었다. </w:t>
      </w:r>
    </w:p>
    <w:p w:rsidR="00290146" w:rsidRPr="00290146" w:rsidRDefault="00290146" w:rsidP="00CF6042">
      <w:pPr>
        <w:spacing w:line="276" w:lineRule="auto"/>
      </w:pPr>
    </w:p>
    <w:p w:rsidR="00392C84" w:rsidRDefault="00392C84" w:rsidP="00392C84">
      <w:pPr>
        <w:jc w:val="center"/>
        <w:rPr>
          <w:b/>
        </w:rPr>
      </w:pPr>
      <w:r>
        <w:rPr>
          <w:rFonts w:hint="eastAsia"/>
          <w:b/>
        </w:rPr>
        <w:t>&lt;</w:t>
      </w:r>
      <w:r w:rsidRPr="00392C84">
        <w:rPr>
          <w:b/>
        </w:rPr>
        <w:t>표</w:t>
      </w:r>
      <w:r>
        <w:rPr>
          <w:b/>
        </w:rPr>
        <w:t xml:space="preserve"> </w:t>
      </w:r>
      <w:r>
        <w:rPr>
          <w:rFonts w:hint="eastAsia"/>
          <w:b/>
        </w:rPr>
        <w:t>6&gt;</w:t>
      </w:r>
      <w:r w:rsidRPr="00392C84">
        <w:rPr>
          <w:b/>
        </w:rPr>
        <w:t xml:space="preserve"> </w:t>
      </w:r>
      <w:r w:rsidR="00131832">
        <w:rPr>
          <w:rFonts w:hint="eastAsia"/>
          <w:b/>
        </w:rPr>
        <w:t>국내 전체</w:t>
      </w:r>
      <w:r w:rsidRPr="00392C84">
        <w:rPr>
          <w:b/>
        </w:rPr>
        <w:t>기관투자자의 거래강도가 강한 기간 전후의 변동성 누적변화</w:t>
      </w:r>
    </w:p>
    <w:p w:rsidR="00392C84" w:rsidRDefault="00392C84" w:rsidP="00392C84">
      <w:r w:rsidRPr="00392C84">
        <w:t xml:space="preserve">이 표는 투자자 거래강도를 이용하여 매수강도와 매도강도가 강했던 기간의 전후 변동성의 누적변화를 보여준다. 매수강도에 따라 10개의 그룹으로 나누고 이 중 매수강도가 가장 컸던 기간과 매도강도가 가장 컸던 기간을 대상으로 전후 변동성 변화를 계산한다. </w:t>
      </w:r>
      <w:proofErr w:type="spellStart"/>
      <w:r w:rsidRPr="00392C84">
        <w:t>Decile</w:t>
      </w:r>
      <w:proofErr w:type="spellEnd"/>
      <w:r w:rsidRPr="00392C84">
        <w:t xml:space="preserve"> 1은 </w:t>
      </w:r>
      <w:r w:rsidR="009E7C26">
        <w:rPr>
          <w:rFonts w:hint="eastAsia"/>
        </w:rPr>
        <w:t>국내</w:t>
      </w:r>
      <w:r w:rsidRPr="00392C84">
        <w:t xml:space="preserve">기관투자자에 의한 매도강도가 가장 강했던 기간의 자료이며, </w:t>
      </w:r>
      <w:proofErr w:type="spellStart"/>
      <w:r w:rsidRPr="00392C84">
        <w:t>Decile</w:t>
      </w:r>
      <w:proofErr w:type="spellEnd"/>
      <w:r w:rsidRPr="00392C84">
        <w:t xml:space="preserve"> 10은 </w:t>
      </w:r>
      <w:r w:rsidR="009E7C26">
        <w:rPr>
          <w:rFonts w:hint="eastAsia"/>
        </w:rPr>
        <w:t>국내</w:t>
      </w:r>
      <w:r w:rsidRPr="00392C84">
        <w:t>기관투자자의 매수강도가 가</w:t>
      </w:r>
      <w:r w:rsidRPr="00392C84">
        <w:lastRenderedPageBreak/>
        <w:t>장 강했던 기간의 자료들이다. K는 자료 이전 또는 이후의 날짜수를 나타낸다. 예를 들면, CV(t-k</w:t>
      </w:r>
      <w:proofErr w:type="gramStart"/>
      <w:r w:rsidRPr="00392C84">
        <w:t>,t</w:t>
      </w:r>
      <w:proofErr w:type="gramEnd"/>
      <w:r w:rsidRPr="00392C84">
        <w:t xml:space="preserve">-1)은 </w:t>
      </w:r>
      <w:proofErr w:type="spellStart"/>
      <w:r w:rsidRPr="00392C84">
        <w:t>거래주</w:t>
      </w:r>
      <w:proofErr w:type="spellEnd"/>
      <w:r w:rsidRPr="00392C84">
        <w:t xml:space="preserve"> 이전에 k일까지 변동성의 누적변화(cumulative volatility change)를 보여주며, C(t+1,t+k)는 </w:t>
      </w:r>
      <w:proofErr w:type="spellStart"/>
      <w:r w:rsidRPr="00392C84">
        <w:t>거래주</w:t>
      </w:r>
      <w:proofErr w:type="spellEnd"/>
      <w:r w:rsidRPr="00392C84">
        <w:t xml:space="preserve"> 이후부터 k일까지의 변동성 변화를 나타낸다. </w:t>
      </w:r>
      <w:proofErr w:type="spellStart"/>
      <w:r w:rsidRPr="00392C84">
        <w:t>시계열</w:t>
      </w:r>
      <w:proofErr w:type="spellEnd"/>
      <w:r w:rsidRPr="00392C84">
        <w:t xml:space="preserve"> 평균과 t-통계량은 각 그룹에 속한 자료의 결과로부터 계산되며, *, **, *** 는 각각 10%, 5%, 1%의 신뢰수준 유의성을 나타낸다.</w:t>
      </w:r>
    </w:p>
    <w:p w:rsidR="001B3DC3" w:rsidRPr="001B3DC3" w:rsidRDefault="001B3DC3" w:rsidP="00392C84">
      <w:pPr>
        <w:rPr>
          <w:sz w:val="10"/>
        </w:rPr>
      </w:pPr>
    </w:p>
    <w:tbl>
      <w:tblPr>
        <w:tblW w:w="5000" w:type="pct"/>
        <w:tblCellMar>
          <w:left w:w="99" w:type="dxa"/>
          <w:right w:w="99" w:type="dxa"/>
        </w:tblCellMar>
        <w:tblLook w:val="04A0"/>
      </w:tblPr>
      <w:tblGrid>
        <w:gridCol w:w="1713"/>
        <w:gridCol w:w="1404"/>
        <w:gridCol w:w="1546"/>
        <w:gridCol w:w="1168"/>
        <w:gridCol w:w="1055"/>
        <w:gridCol w:w="1168"/>
        <w:gridCol w:w="1170"/>
      </w:tblGrid>
      <w:tr w:rsidR="00392C84" w:rsidRPr="00392C84" w:rsidTr="00392C84">
        <w:trPr>
          <w:trHeight w:val="195"/>
        </w:trPr>
        <w:tc>
          <w:tcPr>
            <w:tcW w:w="929" w:type="pct"/>
            <w:tcBorders>
              <w:top w:val="single" w:sz="4" w:space="0" w:color="auto"/>
              <w:left w:val="nil"/>
              <w:bottom w:val="single" w:sz="4" w:space="0" w:color="auto"/>
              <w:right w:val="nil"/>
            </w:tcBorders>
            <w:shd w:val="clear" w:color="auto" w:fill="auto"/>
            <w:noWrap/>
            <w:hideMark/>
          </w:tcPr>
          <w:p w:rsidR="00392C84" w:rsidRPr="00392C84" w:rsidRDefault="00392C84" w:rsidP="00392C84">
            <w:r w:rsidRPr="00392C84">
              <w:t>Sample</w:t>
            </w:r>
          </w:p>
        </w:tc>
        <w:tc>
          <w:tcPr>
            <w:tcW w:w="761" w:type="pct"/>
            <w:tcBorders>
              <w:top w:val="single" w:sz="4" w:space="0" w:color="auto"/>
              <w:left w:val="nil"/>
              <w:bottom w:val="single" w:sz="4" w:space="0" w:color="auto"/>
              <w:right w:val="nil"/>
            </w:tcBorders>
            <w:shd w:val="clear" w:color="auto" w:fill="auto"/>
            <w:noWrap/>
            <w:hideMark/>
          </w:tcPr>
          <w:p w:rsidR="00392C84" w:rsidRPr="00392C84" w:rsidRDefault="00392C84" w:rsidP="00392C84"/>
        </w:tc>
        <w:tc>
          <w:tcPr>
            <w:tcW w:w="838" w:type="pct"/>
            <w:tcBorders>
              <w:top w:val="single" w:sz="4" w:space="0" w:color="auto"/>
              <w:left w:val="nil"/>
              <w:bottom w:val="single" w:sz="4" w:space="0" w:color="auto"/>
              <w:right w:val="nil"/>
            </w:tcBorders>
            <w:shd w:val="clear" w:color="auto" w:fill="auto"/>
            <w:noWrap/>
            <w:vAlign w:val="center"/>
            <w:hideMark/>
          </w:tcPr>
          <w:p w:rsidR="00392C84" w:rsidRPr="00392C84" w:rsidRDefault="00392C84" w:rsidP="00392C84">
            <w:r w:rsidRPr="00392C84">
              <w:t>K=-10</w:t>
            </w:r>
          </w:p>
        </w:tc>
        <w:tc>
          <w:tcPr>
            <w:tcW w:w="633" w:type="pct"/>
            <w:tcBorders>
              <w:top w:val="single" w:sz="4" w:space="0" w:color="auto"/>
              <w:left w:val="nil"/>
              <w:bottom w:val="single" w:sz="4" w:space="0" w:color="auto"/>
              <w:right w:val="nil"/>
            </w:tcBorders>
            <w:shd w:val="clear" w:color="auto" w:fill="auto"/>
            <w:noWrap/>
            <w:vAlign w:val="center"/>
            <w:hideMark/>
          </w:tcPr>
          <w:p w:rsidR="00392C84" w:rsidRPr="00392C84" w:rsidRDefault="00392C84" w:rsidP="00392C84">
            <w:r w:rsidRPr="00392C84">
              <w:t>K=-5</w:t>
            </w:r>
          </w:p>
        </w:tc>
        <w:tc>
          <w:tcPr>
            <w:tcW w:w="572" w:type="pct"/>
            <w:tcBorders>
              <w:top w:val="single" w:sz="4" w:space="0" w:color="auto"/>
              <w:left w:val="nil"/>
              <w:bottom w:val="single" w:sz="4" w:space="0" w:color="auto"/>
              <w:right w:val="nil"/>
            </w:tcBorders>
            <w:shd w:val="clear" w:color="auto" w:fill="auto"/>
            <w:noWrap/>
            <w:vAlign w:val="center"/>
            <w:hideMark/>
          </w:tcPr>
          <w:p w:rsidR="00392C84" w:rsidRPr="00392C84" w:rsidRDefault="00392C84" w:rsidP="00392C84">
            <w:r w:rsidRPr="00392C84">
              <w:t>K=0</w:t>
            </w:r>
          </w:p>
        </w:tc>
        <w:tc>
          <w:tcPr>
            <w:tcW w:w="633" w:type="pct"/>
            <w:tcBorders>
              <w:top w:val="single" w:sz="4" w:space="0" w:color="auto"/>
              <w:left w:val="nil"/>
              <w:bottom w:val="single" w:sz="4" w:space="0" w:color="auto"/>
              <w:right w:val="nil"/>
            </w:tcBorders>
            <w:shd w:val="clear" w:color="auto" w:fill="auto"/>
            <w:noWrap/>
            <w:vAlign w:val="center"/>
            <w:hideMark/>
          </w:tcPr>
          <w:p w:rsidR="00392C84" w:rsidRPr="00392C84" w:rsidRDefault="00392C84" w:rsidP="00392C84">
            <w:r w:rsidRPr="00392C84">
              <w:t>K=+5</w:t>
            </w:r>
          </w:p>
        </w:tc>
        <w:tc>
          <w:tcPr>
            <w:tcW w:w="634" w:type="pct"/>
            <w:tcBorders>
              <w:top w:val="single" w:sz="4" w:space="0" w:color="auto"/>
              <w:left w:val="nil"/>
              <w:bottom w:val="single" w:sz="4" w:space="0" w:color="auto"/>
              <w:right w:val="nil"/>
            </w:tcBorders>
            <w:shd w:val="clear" w:color="auto" w:fill="auto"/>
            <w:noWrap/>
            <w:vAlign w:val="center"/>
            <w:hideMark/>
          </w:tcPr>
          <w:p w:rsidR="00392C84" w:rsidRPr="00392C84" w:rsidRDefault="00392C84" w:rsidP="00392C84">
            <w:r w:rsidRPr="00392C84">
              <w:t>K=+10</w:t>
            </w:r>
          </w:p>
        </w:tc>
      </w:tr>
      <w:tr w:rsidR="00392C84" w:rsidRPr="00392C84" w:rsidTr="00392C84">
        <w:trPr>
          <w:trHeight w:val="64"/>
        </w:trPr>
        <w:tc>
          <w:tcPr>
            <w:tcW w:w="929" w:type="pct"/>
            <w:tcBorders>
              <w:top w:val="single" w:sz="4" w:space="0" w:color="auto"/>
              <w:left w:val="nil"/>
              <w:right w:val="nil"/>
            </w:tcBorders>
            <w:shd w:val="clear" w:color="auto" w:fill="auto"/>
            <w:noWrap/>
            <w:hideMark/>
          </w:tcPr>
          <w:p w:rsidR="00392C84" w:rsidRPr="00392C84" w:rsidRDefault="00392C84" w:rsidP="00392C84">
            <w:r w:rsidRPr="00392C84">
              <w:t>Intense Selling</w:t>
            </w:r>
          </w:p>
          <w:p w:rsidR="00392C84" w:rsidRPr="00392C84" w:rsidRDefault="00392C84" w:rsidP="00392C84">
            <w:r w:rsidRPr="00392C84">
              <w:t>(</w:t>
            </w:r>
            <w:proofErr w:type="spellStart"/>
            <w:r w:rsidRPr="00392C84">
              <w:t>decile</w:t>
            </w:r>
            <w:proofErr w:type="spellEnd"/>
            <w:r w:rsidRPr="00392C84">
              <w:t xml:space="preserve"> 1)</w:t>
            </w:r>
          </w:p>
        </w:tc>
        <w:tc>
          <w:tcPr>
            <w:tcW w:w="761" w:type="pct"/>
            <w:tcBorders>
              <w:top w:val="single" w:sz="4" w:space="0" w:color="auto"/>
              <w:left w:val="nil"/>
              <w:right w:val="nil"/>
            </w:tcBorders>
            <w:shd w:val="clear" w:color="auto" w:fill="auto"/>
            <w:noWrap/>
            <w:hideMark/>
          </w:tcPr>
          <w:p w:rsidR="00392C84" w:rsidRPr="00392C84" w:rsidRDefault="00392C84" w:rsidP="00392C84">
            <w:r w:rsidRPr="00392C84">
              <w:t>Mean</w:t>
            </w:r>
          </w:p>
          <w:p w:rsidR="00392C84" w:rsidRPr="00392C84" w:rsidRDefault="00392C84" w:rsidP="00392C84">
            <w:r w:rsidRPr="00392C84">
              <w:t>t-statistics</w:t>
            </w:r>
          </w:p>
        </w:tc>
        <w:tc>
          <w:tcPr>
            <w:tcW w:w="838" w:type="pct"/>
            <w:tcBorders>
              <w:top w:val="single" w:sz="4" w:space="0" w:color="auto"/>
              <w:left w:val="nil"/>
              <w:right w:val="nil"/>
            </w:tcBorders>
            <w:shd w:val="clear" w:color="auto" w:fill="auto"/>
            <w:noWrap/>
            <w:vAlign w:val="center"/>
            <w:hideMark/>
          </w:tcPr>
          <w:p w:rsidR="00392C84" w:rsidRPr="00392C84" w:rsidRDefault="00392C84" w:rsidP="00392C84">
            <w:r w:rsidRPr="00392C84">
              <w:t>-0.6395</w:t>
            </w:r>
          </w:p>
          <w:p w:rsidR="00392C84" w:rsidRPr="00392C84" w:rsidRDefault="00392C84" w:rsidP="00392C84">
            <w:r w:rsidRPr="00392C84">
              <w:t>(-0.76)</w:t>
            </w:r>
          </w:p>
        </w:tc>
        <w:tc>
          <w:tcPr>
            <w:tcW w:w="633" w:type="pct"/>
            <w:tcBorders>
              <w:top w:val="single" w:sz="4" w:space="0" w:color="auto"/>
              <w:left w:val="nil"/>
              <w:right w:val="nil"/>
            </w:tcBorders>
            <w:shd w:val="clear" w:color="auto" w:fill="auto"/>
            <w:noWrap/>
            <w:vAlign w:val="center"/>
            <w:hideMark/>
          </w:tcPr>
          <w:p w:rsidR="00392C84" w:rsidRPr="00392C84" w:rsidRDefault="00392C84" w:rsidP="00392C84">
            <w:r w:rsidRPr="00392C84">
              <w:t>0.0203</w:t>
            </w:r>
          </w:p>
          <w:p w:rsidR="00392C84" w:rsidRPr="00392C84" w:rsidRDefault="00392C84" w:rsidP="00392C84">
            <w:r w:rsidRPr="00392C84">
              <w:t>(0.04)</w:t>
            </w:r>
          </w:p>
        </w:tc>
        <w:tc>
          <w:tcPr>
            <w:tcW w:w="572" w:type="pct"/>
            <w:tcBorders>
              <w:top w:val="single" w:sz="4" w:space="0" w:color="auto"/>
              <w:left w:val="nil"/>
              <w:right w:val="nil"/>
            </w:tcBorders>
            <w:shd w:val="clear" w:color="auto" w:fill="auto"/>
            <w:noWrap/>
            <w:vAlign w:val="center"/>
            <w:hideMark/>
          </w:tcPr>
          <w:p w:rsidR="00392C84" w:rsidRPr="00392C84" w:rsidRDefault="00392C84" w:rsidP="00392C84">
            <w:r w:rsidRPr="00392C84">
              <w:t>0.7005</w:t>
            </w:r>
          </w:p>
          <w:p w:rsidR="00392C84" w:rsidRPr="00392C84" w:rsidRDefault="00392C84" w:rsidP="00392C84">
            <w:r w:rsidRPr="00392C84">
              <w:t>(1.49)</w:t>
            </w:r>
          </w:p>
        </w:tc>
        <w:tc>
          <w:tcPr>
            <w:tcW w:w="633" w:type="pct"/>
            <w:tcBorders>
              <w:top w:val="single" w:sz="4" w:space="0" w:color="auto"/>
              <w:left w:val="nil"/>
              <w:right w:val="nil"/>
            </w:tcBorders>
            <w:shd w:val="clear" w:color="auto" w:fill="auto"/>
            <w:noWrap/>
            <w:vAlign w:val="center"/>
            <w:hideMark/>
          </w:tcPr>
          <w:p w:rsidR="00392C84" w:rsidRPr="00392C84" w:rsidRDefault="00392C84" w:rsidP="00392C84">
            <w:r w:rsidRPr="00392C84">
              <w:t>-0.6893</w:t>
            </w:r>
          </w:p>
          <w:p w:rsidR="00392C84" w:rsidRPr="00392C84" w:rsidRDefault="00392C84" w:rsidP="00392C84">
            <w:r w:rsidRPr="00392C84">
              <w:t>(-1.25)</w:t>
            </w:r>
          </w:p>
        </w:tc>
        <w:tc>
          <w:tcPr>
            <w:tcW w:w="634" w:type="pct"/>
            <w:tcBorders>
              <w:top w:val="single" w:sz="4" w:space="0" w:color="auto"/>
              <w:left w:val="nil"/>
              <w:right w:val="nil"/>
            </w:tcBorders>
            <w:shd w:val="clear" w:color="auto" w:fill="auto"/>
            <w:noWrap/>
            <w:vAlign w:val="center"/>
            <w:hideMark/>
          </w:tcPr>
          <w:p w:rsidR="00392C84" w:rsidRPr="00392C84" w:rsidRDefault="00392C84" w:rsidP="00392C84">
            <w:r w:rsidRPr="00392C84">
              <w:t>-0.8148</w:t>
            </w:r>
          </w:p>
          <w:p w:rsidR="00392C84" w:rsidRPr="00392C84" w:rsidRDefault="00392C84" w:rsidP="00392C84">
            <w:r w:rsidRPr="00392C84">
              <w:t>(-1.11)</w:t>
            </w:r>
          </w:p>
        </w:tc>
      </w:tr>
      <w:tr w:rsidR="00392C84" w:rsidRPr="00392C84" w:rsidTr="00392C84">
        <w:trPr>
          <w:trHeight w:val="74"/>
        </w:trPr>
        <w:tc>
          <w:tcPr>
            <w:tcW w:w="929" w:type="pct"/>
            <w:tcBorders>
              <w:left w:val="nil"/>
              <w:right w:val="nil"/>
            </w:tcBorders>
            <w:shd w:val="clear" w:color="auto" w:fill="auto"/>
            <w:noWrap/>
            <w:hideMark/>
          </w:tcPr>
          <w:p w:rsidR="00392C84" w:rsidRPr="00392C84" w:rsidRDefault="00392C84" w:rsidP="00392C84">
            <w:r w:rsidRPr="00392C84">
              <w:t>Selling</w:t>
            </w:r>
          </w:p>
          <w:p w:rsidR="00392C84" w:rsidRPr="00392C84" w:rsidRDefault="00392C84" w:rsidP="00392C84">
            <w:r w:rsidRPr="00392C84">
              <w:t>(</w:t>
            </w:r>
            <w:proofErr w:type="spellStart"/>
            <w:r w:rsidRPr="00392C84">
              <w:t>decile</w:t>
            </w:r>
            <w:proofErr w:type="spellEnd"/>
            <w:r w:rsidRPr="00392C84">
              <w:t xml:space="preserve"> 1 &amp; 2)</w:t>
            </w:r>
          </w:p>
        </w:tc>
        <w:tc>
          <w:tcPr>
            <w:tcW w:w="761" w:type="pct"/>
            <w:tcBorders>
              <w:left w:val="nil"/>
              <w:right w:val="nil"/>
            </w:tcBorders>
            <w:shd w:val="clear" w:color="auto" w:fill="auto"/>
            <w:noWrap/>
            <w:hideMark/>
          </w:tcPr>
          <w:p w:rsidR="00392C84" w:rsidRPr="00392C84" w:rsidRDefault="00392C84" w:rsidP="00392C84">
            <w:r w:rsidRPr="00392C84">
              <w:t>Mean</w:t>
            </w:r>
          </w:p>
          <w:p w:rsidR="00392C84" w:rsidRPr="00392C84" w:rsidRDefault="00392C84" w:rsidP="00392C84">
            <w:r w:rsidRPr="00392C84">
              <w:t>t-statistics</w:t>
            </w:r>
          </w:p>
        </w:tc>
        <w:tc>
          <w:tcPr>
            <w:tcW w:w="838" w:type="pct"/>
            <w:tcBorders>
              <w:left w:val="nil"/>
              <w:right w:val="nil"/>
            </w:tcBorders>
            <w:shd w:val="clear" w:color="auto" w:fill="auto"/>
            <w:noWrap/>
            <w:vAlign w:val="center"/>
            <w:hideMark/>
          </w:tcPr>
          <w:p w:rsidR="00392C84" w:rsidRPr="00392C84" w:rsidRDefault="00392C84" w:rsidP="00392C84">
            <w:r w:rsidRPr="00392C84">
              <w:t>-0.0994</w:t>
            </w:r>
          </w:p>
          <w:p w:rsidR="00392C84" w:rsidRPr="00392C84" w:rsidRDefault="00392C84" w:rsidP="00392C84">
            <w:r w:rsidRPr="00392C84">
              <w:t>(-0.20)</w:t>
            </w:r>
          </w:p>
        </w:tc>
        <w:tc>
          <w:tcPr>
            <w:tcW w:w="633" w:type="pct"/>
            <w:tcBorders>
              <w:left w:val="nil"/>
              <w:right w:val="nil"/>
            </w:tcBorders>
            <w:shd w:val="clear" w:color="auto" w:fill="auto"/>
            <w:noWrap/>
            <w:vAlign w:val="center"/>
            <w:hideMark/>
          </w:tcPr>
          <w:p w:rsidR="00392C84" w:rsidRPr="00392C84" w:rsidRDefault="00392C84" w:rsidP="00392C84">
            <w:r w:rsidRPr="00392C84">
              <w:t>-0.0076</w:t>
            </w:r>
          </w:p>
          <w:p w:rsidR="00392C84" w:rsidRPr="00392C84" w:rsidRDefault="00392C84" w:rsidP="00392C84">
            <w:r w:rsidRPr="00392C84">
              <w:t>(-0.02)</w:t>
            </w:r>
          </w:p>
        </w:tc>
        <w:tc>
          <w:tcPr>
            <w:tcW w:w="572" w:type="pct"/>
            <w:tcBorders>
              <w:left w:val="nil"/>
              <w:right w:val="nil"/>
            </w:tcBorders>
            <w:shd w:val="clear" w:color="auto" w:fill="auto"/>
            <w:noWrap/>
            <w:vAlign w:val="center"/>
            <w:hideMark/>
          </w:tcPr>
          <w:p w:rsidR="00392C84" w:rsidRPr="00392C84" w:rsidRDefault="00392C84" w:rsidP="00392C84">
            <w:r w:rsidRPr="00392C84">
              <w:t>0.6340</w:t>
            </w:r>
          </w:p>
          <w:p w:rsidR="00392C84" w:rsidRPr="00392C84" w:rsidRDefault="00392C84" w:rsidP="00392C84">
            <w:r w:rsidRPr="00392C84">
              <w:t>(1.26)</w:t>
            </w:r>
          </w:p>
        </w:tc>
        <w:tc>
          <w:tcPr>
            <w:tcW w:w="633" w:type="pct"/>
            <w:tcBorders>
              <w:left w:val="nil"/>
              <w:right w:val="nil"/>
            </w:tcBorders>
            <w:shd w:val="clear" w:color="auto" w:fill="auto"/>
            <w:noWrap/>
            <w:vAlign w:val="center"/>
            <w:hideMark/>
          </w:tcPr>
          <w:p w:rsidR="00392C84" w:rsidRPr="00392C84" w:rsidRDefault="00392C84" w:rsidP="00392C84">
            <w:r w:rsidRPr="00392C84">
              <w:t>-0.1355</w:t>
            </w:r>
          </w:p>
          <w:p w:rsidR="00392C84" w:rsidRPr="00392C84" w:rsidRDefault="00392C84" w:rsidP="00392C84">
            <w:r w:rsidRPr="00392C84">
              <w:t>(-0.40)</w:t>
            </w:r>
          </w:p>
        </w:tc>
        <w:tc>
          <w:tcPr>
            <w:tcW w:w="634" w:type="pct"/>
            <w:tcBorders>
              <w:left w:val="nil"/>
              <w:right w:val="nil"/>
            </w:tcBorders>
            <w:shd w:val="clear" w:color="auto" w:fill="auto"/>
            <w:noWrap/>
            <w:vAlign w:val="center"/>
            <w:hideMark/>
          </w:tcPr>
          <w:p w:rsidR="00392C84" w:rsidRPr="00392C84" w:rsidRDefault="00392C84" w:rsidP="00392C84">
            <w:r w:rsidRPr="00392C84">
              <w:t>-0.1988</w:t>
            </w:r>
          </w:p>
          <w:p w:rsidR="00392C84" w:rsidRPr="00392C84" w:rsidRDefault="00392C84" w:rsidP="00392C84">
            <w:r w:rsidRPr="00392C84">
              <w:t>(-0.40)</w:t>
            </w:r>
          </w:p>
        </w:tc>
      </w:tr>
      <w:tr w:rsidR="00392C84" w:rsidRPr="00392C84" w:rsidTr="00392C84">
        <w:trPr>
          <w:trHeight w:val="74"/>
        </w:trPr>
        <w:tc>
          <w:tcPr>
            <w:tcW w:w="929" w:type="pct"/>
            <w:tcBorders>
              <w:top w:val="nil"/>
              <w:left w:val="nil"/>
              <w:right w:val="nil"/>
            </w:tcBorders>
            <w:shd w:val="clear" w:color="auto" w:fill="auto"/>
            <w:noWrap/>
            <w:hideMark/>
          </w:tcPr>
          <w:p w:rsidR="00392C84" w:rsidRPr="00392C84" w:rsidRDefault="00392C84" w:rsidP="00392C84">
            <w:r w:rsidRPr="00392C84">
              <w:t>Buying</w:t>
            </w:r>
          </w:p>
          <w:p w:rsidR="00392C84" w:rsidRPr="00392C84" w:rsidRDefault="00392C84" w:rsidP="00392C84">
            <w:r w:rsidRPr="00392C84">
              <w:t>(</w:t>
            </w:r>
            <w:proofErr w:type="spellStart"/>
            <w:r w:rsidRPr="00392C84">
              <w:t>decile</w:t>
            </w:r>
            <w:proofErr w:type="spellEnd"/>
            <w:r w:rsidRPr="00392C84">
              <w:t xml:space="preserve"> 9 &amp; 10)</w:t>
            </w:r>
          </w:p>
        </w:tc>
        <w:tc>
          <w:tcPr>
            <w:tcW w:w="761" w:type="pct"/>
            <w:tcBorders>
              <w:top w:val="nil"/>
              <w:left w:val="nil"/>
              <w:right w:val="nil"/>
            </w:tcBorders>
            <w:shd w:val="clear" w:color="auto" w:fill="auto"/>
            <w:noWrap/>
            <w:hideMark/>
          </w:tcPr>
          <w:p w:rsidR="00392C84" w:rsidRPr="00392C84" w:rsidRDefault="00392C84" w:rsidP="00392C84">
            <w:r w:rsidRPr="00392C84">
              <w:t>Mean</w:t>
            </w:r>
          </w:p>
          <w:p w:rsidR="00392C84" w:rsidRPr="00392C84" w:rsidRDefault="00392C84" w:rsidP="00392C84">
            <w:r w:rsidRPr="00392C84">
              <w:t>t-statistics</w:t>
            </w:r>
          </w:p>
        </w:tc>
        <w:tc>
          <w:tcPr>
            <w:tcW w:w="838" w:type="pct"/>
            <w:tcBorders>
              <w:top w:val="nil"/>
              <w:left w:val="nil"/>
              <w:right w:val="nil"/>
            </w:tcBorders>
            <w:shd w:val="clear" w:color="auto" w:fill="auto"/>
            <w:noWrap/>
            <w:vAlign w:val="center"/>
            <w:hideMark/>
          </w:tcPr>
          <w:p w:rsidR="00392C84" w:rsidRPr="00392C84" w:rsidRDefault="00392C84" w:rsidP="00392C84">
            <w:r w:rsidRPr="00392C84">
              <w:t>0.0536</w:t>
            </w:r>
          </w:p>
          <w:p w:rsidR="00392C84" w:rsidRPr="00392C84" w:rsidRDefault="00392C84" w:rsidP="00392C84">
            <w:r w:rsidRPr="00392C84">
              <w:t>(0.11)</w:t>
            </w:r>
          </w:p>
        </w:tc>
        <w:tc>
          <w:tcPr>
            <w:tcW w:w="633" w:type="pct"/>
            <w:tcBorders>
              <w:top w:val="nil"/>
              <w:left w:val="nil"/>
              <w:right w:val="nil"/>
            </w:tcBorders>
            <w:shd w:val="clear" w:color="auto" w:fill="auto"/>
            <w:noWrap/>
            <w:vAlign w:val="center"/>
            <w:hideMark/>
          </w:tcPr>
          <w:p w:rsidR="00392C84" w:rsidRPr="00392C84" w:rsidRDefault="00392C84" w:rsidP="00392C84">
            <w:r w:rsidRPr="00392C84">
              <w:t>0.1170</w:t>
            </w:r>
          </w:p>
          <w:p w:rsidR="00392C84" w:rsidRPr="00392C84" w:rsidRDefault="00392C84" w:rsidP="00392C84">
            <w:r w:rsidRPr="00392C84">
              <w:t>(0.40)</w:t>
            </w:r>
          </w:p>
        </w:tc>
        <w:tc>
          <w:tcPr>
            <w:tcW w:w="572" w:type="pct"/>
            <w:tcBorders>
              <w:top w:val="nil"/>
              <w:left w:val="nil"/>
              <w:right w:val="nil"/>
            </w:tcBorders>
            <w:shd w:val="clear" w:color="auto" w:fill="auto"/>
            <w:noWrap/>
            <w:vAlign w:val="center"/>
            <w:hideMark/>
          </w:tcPr>
          <w:p w:rsidR="00392C84" w:rsidRPr="00392C84" w:rsidRDefault="00392C84" w:rsidP="00392C84">
            <w:r w:rsidRPr="00392C84">
              <w:t>0.3780</w:t>
            </w:r>
          </w:p>
          <w:p w:rsidR="00392C84" w:rsidRPr="00392C84" w:rsidRDefault="00392C84" w:rsidP="00392C84">
            <w:r w:rsidRPr="00392C84">
              <w:t>(1.45)</w:t>
            </w:r>
          </w:p>
        </w:tc>
        <w:tc>
          <w:tcPr>
            <w:tcW w:w="633" w:type="pct"/>
            <w:tcBorders>
              <w:top w:val="nil"/>
              <w:left w:val="nil"/>
              <w:right w:val="nil"/>
            </w:tcBorders>
            <w:shd w:val="clear" w:color="auto" w:fill="auto"/>
            <w:noWrap/>
            <w:vAlign w:val="center"/>
            <w:hideMark/>
          </w:tcPr>
          <w:p w:rsidR="00392C84" w:rsidRPr="00392C84" w:rsidRDefault="00392C84" w:rsidP="00392C84">
            <w:r w:rsidRPr="00392C84">
              <w:t>-0.5014</w:t>
            </w:r>
          </w:p>
          <w:p w:rsidR="00392C84" w:rsidRPr="00392C84" w:rsidRDefault="00392C84" w:rsidP="00392C84">
            <w:r w:rsidRPr="00392C84">
              <w:t>(-1.18)</w:t>
            </w:r>
          </w:p>
        </w:tc>
        <w:tc>
          <w:tcPr>
            <w:tcW w:w="634" w:type="pct"/>
            <w:tcBorders>
              <w:top w:val="nil"/>
              <w:left w:val="nil"/>
              <w:right w:val="nil"/>
            </w:tcBorders>
            <w:shd w:val="clear" w:color="auto" w:fill="auto"/>
            <w:noWrap/>
            <w:vAlign w:val="center"/>
            <w:hideMark/>
          </w:tcPr>
          <w:p w:rsidR="00392C84" w:rsidRPr="00392C84" w:rsidRDefault="00392C84" w:rsidP="00392C84">
            <w:r w:rsidRPr="00392C84">
              <w:t>-0.9179</w:t>
            </w:r>
          </w:p>
          <w:p w:rsidR="00392C84" w:rsidRPr="00392C84" w:rsidRDefault="00392C84" w:rsidP="00392C84">
            <w:r w:rsidRPr="00392C84">
              <w:t>(-1.42)</w:t>
            </w:r>
          </w:p>
        </w:tc>
      </w:tr>
      <w:tr w:rsidR="00392C84" w:rsidRPr="00392C84" w:rsidTr="00392C84">
        <w:trPr>
          <w:trHeight w:val="74"/>
        </w:trPr>
        <w:tc>
          <w:tcPr>
            <w:tcW w:w="929" w:type="pct"/>
            <w:tcBorders>
              <w:top w:val="nil"/>
              <w:left w:val="nil"/>
              <w:bottom w:val="single" w:sz="4" w:space="0" w:color="auto"/>
              <w:right w:val="nil"/>
            </w:tcBorders>
            <w:shd w:val="clear" w:color="auto" w:fill="auto"/>
            <w:noWrap/>
            <w:hideMark/>
          </w:tcPr>
          <w:p w:rsidR="00392C84" w:rsidRPr="00392C84" w:rsidRDefault="00392C84" w:rsidP="00392C84">
            <w:r w:rsidRPr="00392C84">
              <w:t>Intense Buying</w:t>
            </w:r>
          </w:p>
          <w:p w:rsidR="00392C84" w:rsidRPr="00392C84" w:rsidRDefault="00392C84" w:rsidP="00392C84">
            <w:r w:rsidRPr="00392C84">
              <w:t>(</w:t>
            </w:r>
            <w:proofErr w:type="spellStart"/>
            <w:r w:rsidRPr="00392C84">
              <w:t>decile</w:t>
            </w:r>
            <w:proofErr w:type="spellEnd"/>
            <w:r w:rsidRPr="00392C84">
              <w:t xml:space="preserve"> 10)</w:t>
            </w:r>
          </w:p>
        </w:tc>
        <w:tc>
          <w:tcPr>
            <w:tcW w:w="761" w:type="pct"/>
            <w:tcBorders>
              <w:top w:val="nil"/>
              <w:left w:val="nil"/>
              <w:bottom w:val="single" w:sz="4" w:space="0" w:color="auto"/>
              <w:right w:val="nil"/>
            </w:tcBorders>
            <w:shd w:val="clear" w:color="auto" w:fill="auto"/>
            <w:noWrap/>
            <w:hideMark/>
          </w:tcPr>
          <w:p w:rsidR="00392C84" w:rsidRPr="00392C84" w:rsidRDefault="00392C84" w:rsidP="00392C84">
            <w:r w:rsidRPr="00392C84">
              <w:t>Mean</w:t>
            </w:r>
          </w:p>
          <w:p w:rsidR="00392C84" w:rsidRPr="00392C84" w:rsidRDefault="00392C84" w:rsidP="00392C84">
            <w:r w:rsidRPr="00392C84">
              <w:t>t-statistics</w:t>
            </w:r>
          </w:p>
        </w:tc>
        <w:tc>
          <w:tcPr>
            <w:tcW w:w="838" w:type="pct"/>
            <w:tcBorders>
              <w:top w:val="nil"/>
              <w:left w:val="nil"/>
              <w:bottom w:val="single" w:sz="4" w:space="0" w:color="auto"/>
              <w:right w:val="nil"/>
            </w:tcBorders>
            <w:shd w:val="clear" w:color="auto" w:fill="auto"/>
            <w:noWrap/>
            <w:vAlign w:val="center"/>
            <w:hideMark/>
          </w:tcPr>
          <w:p w:rsidR="00392C84" w:rsidRPr="00392C84" w:rsidRDefault="00392C84" w:rsidP="00392C84">
            <w:r w:rsidRPr="00392C84">
              <w:t>-0.2223</w:t>
            </w:r>
          </w:p>
          <w:p w:rsidR="00392C84" w:rsidRPr="00392C84" w:rsidRDefault="00392C84" w:rsidP="00392C84">
            <w:r w:rsidRPr="00392C84">
              <w:t>(-0.25)</w:t>
            </w:r>
          </w:p>
        </w:tc>
        <w:tc>
          <w:tcPr>
            <w:tcW w:w="633" w:type="pct"/>
            <w:tcBorders>
              <w:top w:val="nil"/>
              <w:left w:val="nil"/>
              <w:bottom w:val="single" w:sz="4" w:space="0" w:color="auto"/>
              <w:right w:val="nil"/>
            </w:tcBorders>
            <w:shd w:val="clear" w:color="auto" w:fill="auto"/>
            <w:noWrap/>
            <w:vAlign w:val="center"/>
            <w:hideMark/>
          </w:tcPr>
          <w:p w:rsidR="00392C84" w:rsidRPr="00392C84" w:rsidRDefault="00392C84" w:rsidP="00392C84">
            <w:r w:rsidRPr="00392C84">
              <w:t>0.2400</w:t>
            </w:r>
          </w:p>
          <w:p w:rsidR="00392C84" w:rsidRPr="00392C84" w:rsidRDefault="00392C84" w:rsidP="00392C84">
            <w:r w:rsidRPr="00392C84">
              <w:t>(0.49)</w:t>
            </w:r>
          </w:p>
        </w:tc>
        <w:tc>
          <w:tcPr>
            <w:tcW w:w="572" w:type="pct"/>
            <w:tcBorders>
              <w:top w:val="nil"/>
              <w:left w:val="nil"/>
              <w:bottom w:val="single" w:sz="4" w:space="0" w:color="auto"/>
              <w:right w:val="nil"/>
            </w:tcBorders>
            <w:shd w:val="clear" w:color="auto" w:fill="auto"/>
            <w:noWrap/>
            <w:vAlign w:val="center"/>
            <w:hideMark/>
          </w:tcPr>
          <w:p w:rsidR="00392C84" w:rsidRPr="00392C84" w:rsidRDefault="00392C84" w:rsidP="00392C84">
            <w:r w:rsidRPr="00392C84">
              <w:t>0.4175</w:t>
            </w:r>
          </w:p>
          <w:p w:rsidR="00392C84" w:rsidRPr="00392C84" w:rsidRDefault="00392C84" w:rsidP="00392C84">
            <w:r w:rsidRPr="00392C84">
              <w:t>(1.07)</w:t>
            </w:r>
          </w:p>
        </w:tc>
        <w:tc>
          <w:tcPr>
            <w:tcW w:w="633" w:type="pct"/>
            <w:tcBorders>
              <w:top w:val="nil"/>
              <w:left w:val="nil"/>
              <w:bottom w:val="single" w:sz="4" w:space="0" w:color="auto"/>
              <w:right w:val="nil"/>
            </w:tcBorders>
            <w:shd w:val="clear" w:color="auto" w:fill="auto"/>
            <w:noWrap/>
            <w:vAlign w:val="center"/>
            <w:hideMark/>
          </w:tcPr>
          <w:p w:rsidR="00392C84" w:rsidRPr="00392C84" w:rsidRDefault="00392C84" w:rsidP="00392C84">
            <w:r w:rsidRPr="00392C84">
              <w:t>-0.9718</w:t>
            </w:r>
          </w:p>
          <w:p w:rsidR="00392C84" w:rsidRPr="00392C84" w:rsidRDefault="00392C84" w:rsidP="00392C84">
            <w:r w:rsidRPr="00392C84">
              <w:t>(-1.30)</w:t>
            </w:r>
          </w:p>
        </w:tc>
        <w:tc>
          <w:tcPr>
            <w:tcW w:w="634" w:type="pct"/>
            <w:tcBorders>
              <w:top w:val="nil"/>
              <w:left w:val="nil"/>
              <w:bottom w:val="single" w:sz="4" w:space="0" w:color="auto"/>
              <w:right w:val="nil"/>
            </w:tcBorders>
            <w:shd w:val="clear" w:color="auto" w:fill="auto"/>
            <w:noWrap/>
            <w:vAlign w:val="center"/>
            <w:hideMark/>
          </w:tcPr>
          <w:p w:rsidR="00392C84" w:rsidRPr="00392C84" w:rsidRDefault="00392C84" w:rsidP="00392C84">
            <w:r w:rsidRPr="00392C84">
              <w:t>-1.4875</w:t>
            </w:r>
          </w:p>
          <w:p w:rsidR="00392C84" w:rsidRPr="00392C84" w:rsidRDefault="00392C84" w:rsidP="00392C84">
            <w:r w:rsidRPr="00392C84">
              <w:t>(-1.49)</w:t>
            </w:r>
          </w:p>
        </w:tc>
      </w:tr>
    </w:tbl>
    <w:p w:rsidR="00392C84" w:rsidRPr="00392C84" w:rsidRDefault="00392C84"/>
    <w:p w:rsidR="00392C84" w:rsidRDefault="00392C84" w:rsidP="00CF6042">
      <w:pPr>
        <w:spacing w:line="276" w:lineRule="auto"/>
      </w:pPr>
    </w:p>
    <w:p w:rsidR="000B783F" w:rsidRDefault="000B783F" w:rsidP="000B783F">
      <w:pPr>
        <w:spacing w:line="276" w:lineRule="auto"/>
        <w:ind w:firstLineChars="100" w:firstLine="200"/>
      </w:pPr>
      <w:r>
        <w:rPr>
          <w:rFonts w:hint="eastAsia"/>
        </w:rPr>
        <w:t xml:space="preserve">반면 </w:t>
      </w:r>
      <w:r w:rsidR="00290146" w:rsidRPr="00290146">
        <w:t>외국인</w:t>
      </w:r>
      <w:r>
        <w:rPr>
          <w:rFonts w:hint="eastAsia"/>
        </w:rPr>
        <w:t>기관</w:t>
      </w:r>
      <w:r w:rsidR="00290146" w:rsidRPr="00290146">
        <w:t>투자자</w:t>
      </w:r>
      <w:r>
        <w:rPr>
          <w:rFonts w:hint="eastAsia"/>
        </w:rPr>
        <w:t xml:space="preserve">에 대한 분석 결과는 국내기관투자자의 결과와 상반된다. 4.1장의 회귀분석 결과에서도 나타난 것처럼, 국내기관투자자와 변동성의 관련성이 유의하게 나타나지 않는 반면 외국인기관투자자는 </w:t>
      </w:r>
      <w:proofErr w:type="spellStart"/>
      <w:r>
        <w:rPr>
          <w:rFonts w:hint="eastAsia"/>
        </w:rPr>
        <w:t>동시점뿐만</w:t>
      </w:r>
      <w:proofErr w:type="spellEnd"/>
      <w:r>
        <w:rPr>
          <w:rFonts w:hint="eastAsia"/>
        </w:rPr>
        <w:t xml:space="preserve"> 아니라 </w:t>
      </w:r>
      <w:proofErr w:type="spellStart"/>
      <w:r>
        <w:rPr>
          <w:rFonts w:hint="eastAsia"/>
        </w:rPr>
        <w:t>전후시점</w:t>
      </w:r>
      <w:proofErr w:type="spellEnd"/>
      <w:r>
        <w:rPr>
          <w:rFonts w:hint="eastAsia"/>
        </w:rPr>
        <w:t xml:space="preserve"> 변동성 변화에서도 일관된 패턴이 관찰된다. &lt;표 7&gt;은 외국인기관투자자 거래강도와 변동성 변화에 대한 </w:t>
      </w:r>
      <w:proofErr w:type="spellStart"/>
      <w:r>
        <w:rPr>
          <w:rFonts w:hint="eastAsia"/>
        </w:rPr>
        <w:t>decile</w:t>
      </w:r>
      <w:proofErr w:type="spellEnd"/>
      <w:r>
        <w:rPr>
          <w:rFonts w:hint="eastAsia"/>
        </w:rPr>
        <w:t xml:space="preserve"> 분석 결과를 보여준다. </w:t>
      </w:r>
      <w:r w:rsidR="00290146" w:rsidRPr="00290146">
        <w:t>매수 및 매도강도가 강했던 당시의 변동성 변화(K=0)를 보면, 매도강도가 강했던 기간에는 변동성이 유의하게 상승하</w:t>
      </w:r>
      <w:r>
        <w:rPr>
          <w:rFonts w:hint="eastAsia"/>
        </w:rPr>
        <w:t xml:space="preserve">는 기간이었던 것으로 확인되었으며, </w:t>
      </w:r>
      <w:r w:rsidR="00290146" w:rsidRPr="00290146">
        <w:t xml:space="preserve">매수강도가 강했던 기간에는 변동성이 하락하는 것을 확인했다. 이는 </w:t>
      </w:r>
      <w:r>
        <w:rPr>
          <w:rFonts w:hint="eastAsia"/>
        </w:rPr>
        <w:t>&lt;</w:t>
      </w:r>
      <w:r w:rsidR="00290146" w:rsidRPr="00290146">
        <w:t xml:space="preserve">표 </w:t>
      </w:r>
      <w:r>
        <w:rPr>
          <w:rFonts w:hint="eastAsia"/>
        </w:rPr>
        <w:t>5&gt;의</w:t>
      </w:r>
      <w:r w:rsidR="00290146" w:rsidRPr="00290146">
        <w:t xml:space="preserve"> 모형 2와 3에서 외국인</w:t>
      </w:r>
      <w:r>
        <w:rPr>
          <w:rFonts w:hint="eastAsia"/>
        </w:rPr>
        <w:t>기관</w:t>
      </w:r>
      <w:r w:rsidR="00290146" w:rsidRPr="00290146">
        <w:t>투자자</w:t>
      </w:r>
      <w:r>
        <w:rPr>
          <w:rFonts w:hint="eastAsia"/>
        </w:rPr>
        <w:t xml:space="preserve"> </w:t>
      </w:r>
      <w:r w:rsidR="00290146" w:rsidRPr="00290146">
        <w:t xml:space="preserve">거래강도의 계수가 음이라는 사실과 일치한다. </w:t>
      </w:r>
      <w:r w:rsidR="00BE0449">
        <w:rPr>
          <w:rFonts w:hint="eastAsia"/>
        </w:rPr>
        <w:t xml:space="preserve">특히, 외국인투자자의 매수강도와 매도강도가 강했던 양기간에 모두 변동성의 유의한 변화가 관찰되었다. </w:t>
      </w:r>
    </w:p>
    <w:p w:rsidR="00290146" w:rsidRPr="00290146" w:rsidRDefault="00290146" w:rsidP="00203AE7">
      <w:pPr>
        <w:spacing w:line="276" w:lineRule="auto"/>
        <w:ind w:firstLineChars="100" w:firstLine="200"/>
      </w:pPr>
      <w:r w:rsidRPr="00290146">
        <w:t xml:space="preserve">외국인투자자의 </w:t>
      </w:r>
      <w:r w:rsidR="00BE0449">
        <w:t>강</w:t>
      </w:r>
      <w:r w:rsidR="00BE0449">
        <w:rPr>
          <w:rFonts w:hint="eastAsia"/>
        </w:rPr>
        <w:t>도가 강했던 시기</w:t>
      </w:r>
      <w:r w:rsidRPr="00290146">
        <w:t xml:space="preserve"> 전후의 변동성 변화를 확인해 보면, 매도강도가 강했던 기간(</w:t>
      </w:r>
      <w:proofErr w:type="spellStart"/>
      <w:r w:rsidRPr="00290146">
        <w:t>decile</w:t>
      </w:r>
      <w:proofErr w:type="spellEnd"/>
      <w:r w:rsidRPr="00290146">
        <w:t xml:space="preserve"> 1)의 이전에 변동성이 상승하였으며, 이후로도 변동성이 2주 가량 유의하게 상승하는 현상이 관찰되었다. 매수강도가 강했던 기간(</w:t>
      </w:r>
      <w:proofErr w:type="spellStart"/>
      <w:r w:rsidRPr="00290146">
        <w:t>decile</w:t>
      </w:r>
      <w:proofErr w:type="spellEnd"/>
      <w:r w:rsidRPr="00290146">
        <w:t xml:space="preserve"> 10) 이전에는 유의한 변동성 변화가 관찰되지 </w:t>
      </w:r>
      <w:r w:rsidR="00BE0449">
        <w:t>않았</w:t>
      </w:r>
      <w:r w:rsidR="00BE0449">
        <w:rPr>
          <w:rFonts w:hint="eastAsia"/>
        </w:rPr>
        <w:t>으나</w:t>
      </w:r>
      <w:r w:rsidRPr="00290146">
        <w:t>, 거래 이후에는 변동성이 유의하게 상승하는 것을 확인하였다. 외국인</w:t>
      </w:r>
      <w:r w:rsidR="00203AE7">
        <w:rPr>
          <w:rFonts w:hint="eastAsia"/>
        </w:rPr>
        <w:t>기관</w:t>
      </w:r>
      <w:r w:rsidRPr="00290146">
        <w:t xml:space="preserve">투자자가 평균적으로 옵션을 매수하는 순매수자라는 사실에 기초할 때, 위 결과는 외국인투자자의 거래전략에 대한 흥미로운 추론을 가능케 한다. </w:t>
      </w:r>
      <w:r w:rsidR="00BE0449" w:rsidRPr="00203AE7">
        <w:rPr>
          <w:rFonts w:hint="eastAsia"/>
        </w:rPr>
        <w:t>외국인</w:t>
      </w:r>
      <w:r w:rsidR="00203AE7" w:rsidRPr="00203AE7">
        <w:rPr>
          <w:rFonts w:hint="eastAsia"/>
        </w:rPr>
        <w:t>기관</w:t>
      </w:r>
      <w:r w:rsidR="00BE0449" w:rsidRPr="00203AE7">
        <w:rPr>
          <w:rFonts w:hint="eastAsia"/>
        </w:rPr>
        <w:t>투자자는</w:t>
      </w:r>
      <w:r w:rsidR="00203AE7" w:rsidRPr="00203AE7">
        <w:rPr>
          <w:rFonts w:hint="eastAsia"/>
        </w:rPr>
        <w:t xml:space="preserve"> 변동성이 하락할 때(Intensive Buying; K=0) </w:t>
      </w:r>
      <w:r w:rsidR="00203AE7" w:rsidRPr="00203AE7">
        <w:t>변동성을</w:t>
      </w:r>
      <w:r w:rsidR="00203AE7" w:rsidRPr="00203AE7">
        <w:rPr>
          <w:rFonts w:hint="eastAsia"/>
        </w:rPr>
        <w:t xml:space="preserve"> 매수하고, 이후 즉각적으로 변동성은 상승한다(Intensive Buying; K=5 &amp; K=10). 충분히 변동성이 상승한 이후(Intensive selling; K=-10 &amp; K=-5 &amp; K=0), </w:t>
      </w:r>
      <w:r w:rsidR="00203AE7" w:rsidRPr="00203AE7">
        <w:t>변동성을</w:t>
      </w:r>
      <w:r w:rsidR="00203AE7" w:rsidRPr="00203AE7">
        <w:rPr>
          <w:rFonts w:hint="eastAsia"/>
        </w:rPr>
        <w:t xml:space="preserve"> 매도한다. 단, 변동성의 매도시점(K=0)은 최고점은 아니며 향후 일정기간 추가적인 상승이 있으나(Intensive Selling; K=+5 &amp; K=+10), 수익을 기록한다.</w:t>
      </w:r>
      <w:r w:rsidRPr="00290146">
        <w:t xml:space="preserve"> 이러한 거래전략에 대한 추론이 사실이라면, 외국인투자자는 변동성 </w:t>
      </w:r>
      <w:r w:rsidRPr="00290146">
        <w:lastRenderedPageBreak/>
        <w:t xml:space="preserve">거래에 대한 정보거래자(informed trader)일 가능성이 농후하다. 또한 이것은 외국인투자자가 옵션 거래에서 막대한 이익을 거두고 있다는 사실과도 일관된다 </w:t>
      </w:r>
      <w:r w:rsidR="00203AE7">
        <w:rPr>
          <w:rFonts w:hint="eastAsia"/>
        </w:rPr>
        <w:t xml:space="preserve">(정재만, 김재근, 2005; 본고 &lt;표 2: Panel D&gt; 참조). </w:t>
      </w:r>
    </w:p>
    <w:p w:rsidR="00392C84" w:rsidRDefault="00392C84" w:rsidP="00CF6042">
      <w:pPr>
        <w:spacing w:line="276" w:lineRule="auto"/>
      </w:pPr>
    </w:p>
    <w:p w:rsidR="00392C84" w:rsidRDefault="00392C84" w:rsidP="00CF6042">
      <w:pPr>
        <w:spacing w:line="276" w:lineRule="auto"/>
      </w:pPr>
    </w:p>
    <w:p w:rsidR="00392C84" w:rsidRDefault="00392C84" w:rsidP="00392C84">
      <w:pPr>
        <w:jc w:val="center"/>
      </w:pPr>
      <w:r>
        <w:rPr>
          <w:rFonts w:hint="eastAsia"/>
          <w:b/>
        </w:rPr>
        <w:t>&lt;</w:t>
      </w:r>
      <w:r w:rsidRPr="00392C84">
        <w:rPr>
          <w:b/>
        </w:rPr>
        <w:t>표</w:t>
      </w:r>
      <w:r w:rsidR="00354604">
        <w:rPr>
          <w:b/>
        </w:rPr>
        <w:t xml:space="preserve"> </w:t>
      </w:r>
      <w:r w:rsidR="00354604">
        <w:rPr>
          <w:rFonts w:hint="eastAsia"/>
          <w:b/>
        </w:rPr>
        <w:t>7</w:t>
      </w:r>
      <w:r>
        <w:rPr>
          <w:rFonts w:hint="eastAsia"/>
          <w:b/>
        </w:rPr>
        <w:t>&gt;</w:t>
      </w:r>
      <w:r w:rsidRPr="00392C84">
        <w:rPr>
          <w:b/>
        </w:rPr>
        <w:t xml:space="preserve"> 외국인</w:t>
      </w:r>
      <w:r w:rsidR="009E0AF3" w:rsidRPr="009E0AF3">
        <w:rPr>
          <w:rFonts w:hint="eastAsia"/>
          <w:b/>
        </w:rPr>
        <w:t>기관</w:t>
      </w:r>
      <w:r w:rsidRPr="00392C84">
        <w:rPr>
          <w:b/>
        </w:rPr>
        <w:t>투자자의 거래 강도가 강한 기간 전후의 변동성 누적 변화</w:t>
      </w:r>
    </w:p>
    <w:p w:rsidR="00392C84" w:rsidRPr="00392C84" w:rsidRDefault="00392C84" w:rsidP="00392C84">
      <w:r w:rsidRPr="00392C84">
        <w:t xml:space="preserve">이 표는 투자자 거래강도(NIT, net trading)를 이용하여 매수강도와 매도강도가 강했던 기간의 전후 변동성의 누적변화를 보여준다. 매수강도에 따라 10개의 그룹으로 나누고 이 중 매수강도가 가장 컸던 기간과 매도강도가 가장 컸던 기간을 대상으로 전후 변동성 변화를 계산한다. </w:t>
      </w:r>
      <w:proofErr w:type="spellStart"/>
      <w:r w:rsidRPr="00392C84">
        <w:t>Decile</w:t>
      </w:r>
      <w:proofErr w:type="spellEnd"/>
      <w:r w:rsidRPr="00392C84">
        <w:t xml:space="preserve"> 1은 외국인</w:t>
      </w:r>
      <w:r w:rsidR="009E0AF3">
        <w:rPr>
          <w:rFonts w:hint="eastAsia"/>
        </w:rPr>
        <w:t>기관</w:t>
      </w:r>
      <w:r w:rsidRPr="00392C84">
        <w:t xml:space="preserve">투자자에 의한 매도강도가 가장 강했던 기간의 자료이며, </w:t>
      </w:r>
      <w:proofErr w:type="spellStart"/>
      <w:r w:rsidRPr="00392C84">
        <w:t>Decile</w:t>
      </w:r>
      <w:proofErr w:type="spellEnd"/>
      <w:r w:rsidRPr="00392C84">
        <w:t xml:space="preserve"> 10은 외국인</w:t>
      </w:r>
      <w:r w:rsidR="009E0AF3">
        <w:rPr>
          <w:rFonts w:hint="eastAsia"/>
        </w:rPr>
        <w:t>기관</w:t>
      </w:r>
      <w:r w:rsidRPr="00392C84">
        <w:t>투자자의 매수강도가 가장 강했던 기간의 자료들이다. K는 자료 이전 또는 이후의 날짜수를 나타낸다. 예를 들면, CV(t-k</w:t>
      </w:r>
      <w:proofErr w:type="gramStart"/>
      <w:r w:rsidRPr="00392C84">
        <w:t>,t</w:t>
      </w:r>
      <w:proofErr w:type="gramEnd"/>
      <w:r w:rsidRPr="00392C84">
        <w:t xml:space="preserve">-1)은 </w:t>
      </w:r>
      <w:proofErr w:type="spellStart"/>
      <w:r w:rsidRPr="00392C84">
        <w:t>거래주</w:t>
      </w:r>
      <w:proofErr w:type="spellEnd"/>
      <w:r w:rsidRPr="00392C84">
        <w:t xml:space="preserve"> 이전에 k일까지 변동성의 누적변화(cumulative volatility change)를 보여주며, C(t+1,t+k)는 </w:t>
      </w:r>
      <w:proofErr w:type="spellStart"/>
      <w:r w:rsidRPr="00392C84">
        <w:t>거래주</w:t>
      </w:r>
      <w:proofErr w:type="spellEnd"/>
      <w:r w:rsidRPr="00392C84">
        <w:t xml:space="preserve"> 이후부터 k일까지의 변동성 변화를 나타낸다. </w:t>
      </w:r>
      <w:proofErr w:type="spellStart"/>
      <w:r w:rsidRPr="00392C84">
        <w:t>시계열</w:t>
      </w:r>
      <w:proofErr w:type="spellEnd"/>
      <w:r w:rsidRPr="00392C84">
        <w:t xml:space="preserve"> 평균과 t-통계량은 각 그룹에 속한 자료의 결과로부터 계산되며, *, **, *** 는 각각 10%, 5%, 1%의 신뢰수준 유의성을 나타낸다.</w:t>
      </w:r>
    </w:p>
    <w:tbl>
      <w:tblPr>
        <w:tblW w:w="5000" w:type="pct"/>
        <w:tblCellMar>
          <w:left w:w="99" w:type="dxa"/>
          <w:right w:w="99" w:type="dxa"/>
        </w:tblCellMar>
        <w:tblLook w:val="04A0"/>
      </w:tblPr>
      <w:tblGrid>
        <w:gridCol w:w="1844"/>
        <w:gridCol w:w="1422"/>
        <w:gridCol w:w="1218"/>
        <w:gridCol w:w="1109"/>
        <w:gridCol w:w="1395"/>
        <w:gridCol w:w="1127"/>
        <w:gridCol w:w="1109"/>
      </w:tblGrid>
      <w:tr w:rsidR="00392C84" w:rsidRPr="00392C84" w:rsidTr="00392C84">
        <w:trPr>
          <w:trHeight w:val="195"/>
        </w:trPr>
        <w:tc>
          <w:tcPr>
            <w:tcW w:w="1000" w:type="pct"/>
            <w:tcBorders>
              <w:top w:val="single" w:sz="4" w:space="0" w:color="auto"/>
              <w:left w:val="nil"/>
              <w:bottom w:val="single" w:sz="4" w:space="0" w:color="auto"/>
              <w:right w:val="nil"/>
            </w:tcBorders>
            <w:shd w:val="clear" w:color="auto" w:fill="auto"/>
            <w:noWrap/>
            <w:hideMark/>
          </w:tcPr>
          <w:p w:rsidR="00392C84" w:rsidRPr="00392C84" w:rsidRDefault="00392C84" w:rsidP="00392C84">
            <w:r w:rsidRPr="00392C84">
              <w:t>Sample</w:t>
            </w:r>
          </w:p>
        </w:tc>
        <w:tc>
          <w:tcPr>
            <w:tcW w:w="771" w:type="pct"/>
            <w:tcBorders>
              <w:top w:val="single" w:sz="4" w:space="0" w:color="auto"/>
              <w:left w:val="nil"/>
              <w:bottom w:val="single" w:sz="4" w:space="0" w:color="auto"/>
              <w:right w:val="nil"/>
            </w:tcBorders>
            <w:shd w:val="clear" w:color="auto" w:fill="auto"/>
            <w:noWrap/>
            <w:hideMark/>
          </w:tcPr>
          <w:p w:rsidR="00392C84" w:rsidRPr="00392C84" w:rsidRDefault="00392C84" w:rsidP="00392C84"/>
        </w:tc>
        <w:tc>
          <w:tcPr>
            <w:tcW w:w="660" w:type="pct"/>
            <w:tcBorders>
              <w:top w:val="single" w:sz="4" w:space="0" w:color="auto"/>
              <w:left w:val="nil"/>
              <w:bottom w:val="single" w:sz="4" w:space="0" w:color="auto"/>
              <w:right w:val="nil"/>
            </w:tcBorders>
            <w:shd w:val="clear" w:color="auto" w:fill="auto"/>
            <w:noWrap/>
            <w:vAlign w:val="center"/>
            <w:hideMark/>
          </w:tcPr>
          <w:p w:rsidR="00392C84" w:rsidRPr="00392C84" w:rsidRDefault="00392C84" w:rsidP="00392C84">
            <w:r w:rsidRPr="00392C84">
              <w:t>K=-10</w:t>
            </w:r>
          </w:p>
        </w:tc>
        <w:tc>
          <w:tcPr>
            <w:tcW w:w="601" w:type="pct"/>
            <w:tcBorders>
              <w:top w:val="single" w:sz="4" w:space="0" w:color="auto"/>
              <w:left w:val="nil"/>
              <w:bottom w:val="single" w:sz="4" w:space="0" w:color="auto"/>
              <w:right w:val="nil"/>
            </w:tcBorders>
            <w:shd w:val="clear" w:color="auto" w:fill="auto"/>
            <w:noWrap/>
            <w:vAlign w:val="center"/>
            <w:hideMark/>
          </w:tcPr>
          <w:p w:rsidR="00392C84" w:rsidRPr="00392C84" w:rsidRDefault="00392C84" w:rsidP="00392C84">
            <w:r w:rsidRPr="00392C84">
              <w:t>K=-5</w:t>
            </w:r>
          </w:p>
        </w:tc>
        <w:tc>
          <w:tcPr>
            <w:tcW w:w="756" w:type="pct"/>
            <w:tcBorders>
              <w:top w:val="single" w:sz="4" w:space="0" w:color="auto"/>
              <w:left w:val="nil"/>
              <w:bottom w:val="single" w:sz="4" w:space="0" w:color="auto"/>
              <w:right w:val="nil"/>
            </w:tcBorders>
            <w:shd w:val="clear" w:color="auto" w:fill="auto"/>
            <w:noWrap/>
            <w:vAlign w:val="center"/>
            <w:hideMark/>
          </w:tcPr>
          <w:p w:rsidR="00392C84" w:rsidRPr="00392C84" w:rsidRDefault="00392C84" w:rsidP="00392C84">
            <w:r w:rsidRPr="00392C84">
              <w:t>K=0</w:t>
            </w:r>
          </w:p>
        </w:tc>
        <w:tc>
          <w:tcPr>
            <w:tcW w:w="611" w:type="pct"/>
            <w:tcBorders>
              <w:top w:val="single" w:sz="4" w:space="0" w:color="auto"/>
              <w:left w:val="nil"/>
              <w:bottom w:val="single" w:sz="4" w:space="0" w:color="auto"/>
              <w:right w:val="nil"/>
            </w:tcBorders>
            <w:shd w:val="clear" w:color="auto" w:fill="auto"/>
            <w:noWrap/>
            <w:vAlign w:val="center"/>
            <w:hideMark/>
          </w:tcPr>
          <w:p w:rsidR="00392C84" w:rsidRPr="00392C84" w:rsidRDefault="00392C84" w:rsidP="00392C84">
            <w:r w:rsidRPr="00392C84">
              <w:t>K=+5</w:t>
            </w:r>
          </w:p>
        </w:tc>
        <w:tc>
          <w:tcPr>
            <w:tcW w:w="601" w:type="pct"/>
            <w:tcBorders>
              <w:top w:val="single" w:sz="4" w:space="0" w:color="auto"/>
              <w:left w:val="nil"/>
              <w:bottom w:val="single" w:sz="4" w:space="0" w:color="auto"/>
              <w:right w:val="nil"/>
            </w:tcBorders>
            <w:shd w:val="clear" w:color="auto" w:fill="auto"/>
            <w:noWrap/>
            <w:vAlign w:val="center"/>
            <w:hideMark/>
          </w:tcPr>
          <w:p w:rsidR="00392C84" w:rsidRPr="00392C84" w:rsidRDefault="00392C84" w:rsidP="00392C84">
            <w:r w:rsidRPr="00392C84">
              <w:t>K=+10</w:t>
            </w:r>
          </w:p>
        </w:tc>
      </w:tr>
      <w:tr w:rsidR="00392C84" w:rsidRPr="00392C84" w:rsidTr="00392C84">
        <w:trPr>
          <w:trHeight w:val="64"/>
        </w:trPr>
        <w:tc>
          <w:tcPr>
            <w:tcW w:w="1000" w:type="pct"/>
            <w:vMerge w:val="restart"/>
            <w:tcBorders>
              <w:top w:val="single" w:sz="4" w:space="0" w:color="auto"/>
              <w:left w:val="nil"/>
              <w:right w:val="nil"/>
            </w:tcBorders>
            <w:shd w:val="clear" w:color="auto" w:fill="auto"/>
            <w:noWrap/>
            <w:hideMark/>
          </w:tcPr>
          <w:p w:rsidR="00392C84" w:rsidRPr="00392C84" w:rsidRDefault="00392C84" w:rsidP="00392C84">
            <w:r w:rsidRPr="00392C84">
              <w:t>Intense Selling</w:t>
            </w:r>
          </w:p>
          <w:p w:rsidR="00392C84" w:rsidRPr="00392C84" w:rsidRDefault="00392C84" w:rsidP="00392C84">
            <w:r w:rsidRPr="00392C84">
              <w:t>(</w:t>
            </w:r>
            <w:proofErr w:type="spellStart"/>
            <w:r w:rsidRPr="00392C84">
              <w:t>decile</w:t>
            </w:r>
            <w:proofErr w:type="spellEnd"/>
            <w:r w:rsidRPr="00392C84">
              <w:t xml:space="preserve"> 1)</w:t>
            </w:r>
          </w:p>
        </w:tc>
        <w:tc>
          <w:tcPr>
            <w:tcW w:w="771" w:type="pct"/>
            <w:vMerge w:val="restart"/>
            <w:tcBorders>
              <w:top w:val="single" w:sz="4" w:space="0" w:color="auto"/>
              <w:left w:val="nil"/>
              <w:right w:val="nil"/>
            </w:tcBorders>
            <w:shd w:val="clear" w:color="auto" w:fill="auto"/>
            <w:noWrap/>
            <w:hideMark/>
          </w:tcPr>
          <w:p w:rsidR="00392C84" w:rsidRPr="00392C84" w:rsidRDefault="00392C84" w:rsidP="00392C84">
            <w:r w:rsidRPr="00392C84">
              <w:t>Mean</w:t>
            </w:r>
          </w:p>
          <w:p w:rsidR="00392C84" w:rsidRPr="00392C84" w:rsidRDefault="00392C84" w:rsidP="00392C84">
            <w:r w:rsidRPr="00392C84">
              <w:t>t-statistics</w:t>
            </w:r>
          </w:p>
        </w:tc>
        <w:tc>
          <w:tcPr>
            <w:tcW w:w="660" w:type="pct"/>
            <w:tcBorders>
              <w:top w:val="single" w:sz="4" w:space="0" w:color="auto"/>
              <w:left w:val="nil"/>
              <w:right w:val="nil"/>
            </w:tcBorders>
            <w:shd w:val="clear" w:color="auto" w:fill="auto"/>
            <w:noWrap/>
            <w:vAlign w:val="center"/>
            <w:hideMark/>
          </w:tcPr>
          <w:p w:rsidR="00392C84" w:rsidRPr="00392C84" w:rsidRDefault="00392C84" w:rsidP="00392C84">
            <w:r w:rsidRPr="00392C84">
              <w:t>0.9558</w:t>
            </w:r>
          </w:p>
        </w:tc>
        <w:tc>
          <w:tcPr>
            <w:tcW w:w="601" w:type="pct"/>
            <w:tcBorders>
              <w:top w:val="single" w:sz="4" w:space="0" w:color="auto"/>
              <w:left w:val="nil"/>
              <w:right w:val="nil"/>
            </w:tcBorders>
            <w:shd w:val="clear" w:color="auto" w:fill="auto"/>
            <w:noWrap/>
            <w:vAlign w:val="center"/>
            <w:hideMark/>
          </w:tcPr>
          <w:p w:rsidR="00392C84" w:rsidRPr="00392C84" w:rsidRDefault="00392C84" w:rsidP="00392C84">
            <w:r w:rsidRPr="00392C84">
              <w:t>0.4110</w:t>
            </w:r>
          </w:p>
        </w:tc>
        <w:tc>
          <w:tcPr>
            <w:tcW w:w="756" w:type="pct"/>
            <w:tcBorders>
              <w:top w:val="single" w:sz="4" w:space="0" w:color="auto"/>
              <w:left w:val="nil"/>
              <w:right w:val="nil"/>
            </w:tcBorders>
            <w:shd w:val="clear" w:color="auto" w:fill="auto"/>
            <w:noWrap/>
            <w:vAlign w:val="center"/>
            <w:hideMark/>
          </w:tcPr>
          <w:p w:rsidR="00392C84" w:rsidRPr="00392C84" w:rsidRDefault="00392C84" w:rsidP="00392C84">
            <w:r w:rsidRPr="00392C84">
              <w:t>1.4140</w:t>
            </w:r>
          </w:p>
        </w:tc>
        <w:tc>
          <w:tcPr>
            <w:tcW w:w="611" w:type="pct"/>
            <w:tcBorders>
              <w:top w:val="single" w:sz="4" w:space="0" w:color="auto"/>
              <w:left w:val="nil"/>
              <w:right w:val="nil"/>
            </w:tcBorders>
            <w:shd w:val="clear" w:color="auto" w:fill="auto"/>
            <w:noWrap/>
            <w:vAlign w:val="center"/>
            <w:hideMark/>
          </w:tcPr>
          <w:p w:rsidR="00392C84" w:rsidRPr="00392C84" w:rsidRDefault="00392C84" w:rsidP="00392C84">
            <w:r w:rsidRPr="00392C84">
              <w:t>1.5355</w:t>
            </w:r>
          </w:p>
        </w:tc>
        <w:tc>
          <w:tcPr>
            <w:tcW w:w="601" w:type="pct"/>
            <w:tcBorders>
              <w:top w:val="single" w:sz="4" w:space="0" w:color="auto"/>
              <w:left w:val="nil"/>
              <w:right w:val="nil"/>
            </w:tcBorders>
            <w:shd w:val="clear" w:color="auto" w:fill="auto"/>
            <w:noWrap/>
            <w:vAlign w:val="center"/>
            <w:hideMark/>
          </w:tcPr>
          <w:p w:rsidR="00392C84" w:rsidRPr="00392C84" w:rsidRDefault="00392C84" w:rsidP="00392C84">
            <w:r w:rsidRPr="00392C84">
              <w:t>2.0650</w:t>
            </w:r>
          </w:p>
        </w:tc>
      </w:tr>
      <w:tr w:rsidR="00392C84" w:rsidRPr="00392C84" w:rsidTr="00392C84">
        <w:trPr>
          <w:trHeight w:val="74"/>
        </w:trPr>
        <w:tc>
          <w:tcPr>
            <w:tcW w:w="1000" w:type="pct"/>
            <w:vMerge/>
            <w:tcBorders>
              <w:left w:val="nil"/>
              <w:right w:val="nil"/>
            </w:tcBorders>
            <w:shd w:val="clear" w:color="auto" w:fill="auto"/>
            <w:noWrap/>
            <w:hideMark/>
          </w:tcPr>
          <w:p w:rsidR="00392C84" w:rsidRPr="00392C84" w:rsidRDefault="00392C84" w:rsidP="00392C84"/>
        </w:tc>
        <w:tc>
          <w:tcPr>
            <w:tcW w:w="771" w:type="pct"/>
            <w:vMerge/>
            <w:tcBorders>
              <w:left w:val="nil"/>
              <w:right w:val="nil"/>
            </w:tcBorders>
            <w:shd w:val="clear" w:color="auto" w:fill="auto"/>
            <w:noWrap/>
            <w:hideMark/>
          </w:tcPr>
          <w:p w:rsidR="00392C84" w:rsidRPr="00392C84" w:rsidRDefault="00392C84" w:rsidP="00392C84"/>
        </w:tc>
        <w:tc>
          <w:tcPr>
            <w:tcW w:w="660" w:type="pct"/>
            <w:tcBorders>
              <w:left w:val="nil"/>
              <w:right w:val="nil"/>
            </w:tcBorders>
            <w:shd w:val="clear" w:color="auto" w:fill="auto"/>
            <w:noWrap/>
            <w:vAlign w:val="center"/>
            <w:hideMark/>
          </w:tcPr>
          <w:p w:rsidR="00392C84" w:rsidRPr="00392C84" w:rsidRDefault="00392C84" w:rsidP="00392C84">
            <w:r w:rsidRPr="00392C84">
              <w:t>(1.69)*</w:t>
            </w:r>
          </w:p>
        </w:tc>
        <w:tc>
          <w:tcPr>
            <w:tcW w:w="601" w:type="pct"/>
            <w:tcBorders>
              <w:left w:val="nil"/>
              <w:right w:val="nil"/>
            </w:tcBorders>
            <w:shd w:val="clear" w:color="auto" w:fill="auto"/>
            <w:noWrap/>
            <w:vAlign w:val="center"/>
            <w:hideMark/>
          </w:tcPr>
          <w:p w:rsidR="00392C84" w:rsidRPr="00392C84" w:rsidRDefault="00392C84" w:rsidP="00392C84">
            <w:r w:rsidRPr="00392C84">
              <w:t>(0.99)</w:t>
            </w:r>
          </w:p>
        </w:tc>
        <w:tc>
          <w:tcPr>
            <w:tcW w:w="756" w:type="pct"/>
            <w:tcBorders>
              <w:left w:val="nil"/>
              <w:right w:val="nil"/>
            </w:tcBorders>
            <w:shd w:val="clear" w:color="auto" w:fill="auto"/>
            <w:noWrap/>
            <w:vAlign w:val="center"/>
            <w:hideMark/>
          </w:tcPr>
          <w:p w:rsidR="00392C84" w:rsidRPr="00392C84" w:rsidRDefault="00392C84" w:rsidP="00392C84">
            <w:r w:rsidRPr="00392C84">
              <w:t>(2.25)**</w:t>
            </w:r>
          </w:p>
        </w:tc>
        <w:tc>
          <w:tcPr>
            <w:tcW w:w="611" w:type="pct"/>
            <w:tcBorders>
              <w:left w:val="nil"/>
              <w:right w:val="nil"/>
            </w:tcBorders>
            <w:shd w:val="clear" w:color="auto" w:fill="auto"/>
            <w:noWrap/>
            <w:vAlign w:val="center"/>
            <w:hideMark/>
          </w:tcPr>
          <w:p w:rsidR="00392C84" w:rsidRPr="00392C84" w:rsidRDefault="00392C84" w:rsidP="00392C84">
            <w:r w:rsidRPr="00392C84">
              <w:t>(2.12)**</w:t>
            </w:r>
          </w:p>
        </w:tc>
        <w:tc>
          <w:tcPr>
            <w:tcW w:w="601" w:type="pct"/>
            <w:tcBorders>
              <w:left w:val="nil"/>
              <w:right w:val="nil"/>
            </w:tcBorders>
            <w:shd w:val="clear" w:color="auto" w:fill="auto"/>
            <w:noWrap/>
            <w:vAlign w:val="center"/>
            <w:hideMark/>
          </w:tcPr>
          <w:p w:rsidR="00392C84" w:rsidRPr="00392C84" w:rsidRDefault="00392C84" w:rsidP="00392C84">
            <w:r w:rsidRPr="00392C84">
              <w:t>(2.17)**</w:t>
            </w:r>
          </w:p>
        </w:tc>
      </w:tr>
      <w:tr w:rsidR="00392C84" w:rsidRPr="00392C84" w:rsidTr="00392C84">
        <w:trPr>
          <w:trHeight w:val="74"/>
        </w:trPr>
        <w:tc>
          <w:tcPr>
            <w:tcW w:w="1000" w:type="pct"/>
            <w:vMerge w:val="restart"/>
            <w:tcBorders>
              <w:left w:val="nil"/>
              <w:right w:val="nil"/>
            </w:tcBorders>
            <w:shd w:val="clear" w:color="auto" w:fill="auto"/>
            <w:noWrap/>
            <w:hideMark/>
          </w:tcPr>
          <w:p w:rsidR="00392C84" w:rsidRPr="00392C84" w:rsidRDefault="00392C84" w:rsidP="00392C84">
            <w:r w:rsidRPr="00392C84">
              <w:t>Selling</w:t>
            </w:r>
          </w:p>
          <w:p w:rsidR="00392C84" w:rsidRPr="00392C84" w:rsidRDefault="00392C84" w:rsidP="00392C84">
            <w:r w:rsidRPr="00392C84">
              <w:t>(</w:t>
            </w:r>
            <w:proofErr w:type="spellStart"/>
            <w:r w:rsidRPr="00392C84">
              <w:t>decile</w:t>
            </w:r>
            <w:proofErr w:type="spellEnd"/>
            <w:r w:rsidRPr="00392C84">
              <w:t xml:space="preserve"> 1 &amp; 2)</w:t>
            </w:r>
          </w:p>
        </w:tc>
        <w:tc>
          <w:tcPr>
            <w:tcW w:w="771" w:type="pct"/>
            <w:vMerge w:val="restart"/>
            <w:tcBorders>
              <w:left w:val="nil"/>
              <w:right w:val="nil"/>
            </w:tcBorders>
            <w:shd w:val="clear" w:color="auto" w:fill="auto"/>
            <w:noWrap/>
            <w:hideMark/>
          </w:tcPr>
          <w:p w:rsidR="00392C84" w:rsidRPr="00392C84" w:rsidRDefault="00392C84" w:rsidP="00392C84">
            <w:r w:rsidRPr="00392C84">
              <w:t>Mean</w:t>
            </w:r>
          </w:p>
          <w:p w:rsidR="00392C84" w:rsidRPr="00392C84" w:rsidRDefault="00392C84" w:rsidP="00392C84">
            <w:r w:rsidRPr="00392C84">
              <w:t>t-statistics</w:t>
            </w:r>
          </w:p>
        </w:tc>
        <w:tc>
          <w:tcPr>
            <w:tcW w:w="660" w:type="pct"/>
            <w:tcBorders>
              <w:left w:val="nil"/>
              <w:right w:val="nil"/>
            </w:tcBorders>
            <w:shd w:val="clear" w:color="auto" w:fill="auto"/>
            <w:noWrap/>
            <w:vAlign w:val="center"/>
            <w:hideMark/>
          </w:tcPr>
          <w:p w:rsidR="00392C84" w:rsidRPr="00392C84" w:rsidRDefault="00392C84" w:rsidP="00392C84">
            <w:r w:rsidRPr="00392C84">
              <w:t>1.4734</w:t>
            </w:r>
          </w:p>
        </w:tc>
        <w:tc>
          <w:tcPr>
            <w:tcW w:w="601" w:type="pct"/>
            <w:tcBorders>
              <w:left w:val="nil"/>
              <w:right w:val="nil"/>
            </w:tcBorders>
            <w:shd w:val="clear" w:color="auto" w:fill="auto"/>
            <w:noWrap/>
            <w:vAlign w:val="center"/>
            <w:hideMark/>
          </w:tcPr>
          <w:p w:rsidR="00392C84" w:rsidRPr="00392C84" w:rsidRDefault="00392C84" w:rsidP="00392C84">
            <w:r w:rsidRPr="00392C84">
              <w:t>0.6951</w:t>
            </w:r>
          </w:p>
        </w:tc>
        <w:tc>
          <w:tcPr>
            <w:tcW w:w="756" w:type="pct"/>
            <w:tcBorders>
              <w:left w:val="nil"/>
              <w:right w:val="nil"/>
            </w:tcBorders>
            <w:shd w:val="clear" w:color="auto" w:fill="auto"/>
            <w:noWrap/>
            <w:vAlign w:val="center"/>
            <w:hideMark/>
          </w:tcPr>
          <w:p w:rsidR="00392C84" w:rsidRPr="00392C84" w:rsidRDefault="00392C84" w:rsidP="00392C84">
            <w:r w:rsidRPr="00392C84">
              <w:t>0.7959</w:t>
            </w:r>
          </w:p>
        </w:tc>
        <w:tc>
          <w:tcPr>
            <w:tcW w:w="611" w:type="pct"/>
            <w:tcBorders>
              <w:left w:val="nil"/>
              <w:right w:val="nil"/>
            </w:tcBorders>
            <w:shd w:val="clear" w:color="auto" w:fill="auto"/>
            <w:noWrap/>
            <w:vAlign w:val="center"/>
            <w:hideMark/>
          </w:tcPr>
          <w:p w:rsidR="00392C84" w:rsidRPr="00392C84" w:rsidRDefault="00392C84" w:rsidP="00392C84">
            <w:r w:rsidRPr="00392C84">
              <w:t>0.6283</w:t>
            </w:r>
          </w:p>
        </w:tc>
        <w:tc>
          <w:tcPr>
            <w:tcW w:w="601" w:type="pct"/>
            <w:tcBorders>
              <w:left w:val="nil"/>
              <w:right w:val="nil"/>
            </w:tcBorders>
            <w:shd w:val="clear" w:color="auto" w:fill="auto"/>
            <w:noWrap/>
            <w:vAlign w:val="center"/>
            <w:hideMark/>
          </w:tcPr>
          <w:p w:rsidR="00392C84" w:rsidRPr="00392C84" w:rsidRDefault="00392C84" w:rsidP="00392C84">
            <w:r w:rsidRPr="00392C84">
              <w:t>0.8811</w:t>
            </w:r>
          </w:p>
        </w:tc>
      </w:tr>
      <w:tr w:rsidR="00392C84" w:rsidRPr="00392C84" w:rsidTr="00392C84">
        <w:trPr>
          <w:trHeight w:val="74"/>
        </w:trPr>
        <w:tc>
          <w:tcPr>
            <w:tcW w:w="1000" w:type="pct"/>
            <w:vMerge/>
            <w:tcBorders>
              <w:left w:val="nil"/>
              <w:right w:val="nil"/>
            </w:tcBorders>
            <w:shd w:val="clear" w:color="auto" w:fill="auto"/>
            <w:noWrap/>
            <w:hideMark/>
          </w:tcPr>
          <w:p w:rsidR="00392C84" w:rsidRPr="00392C84" w:rsidRDefault="00392C84" w:rsidP="00392C84"/>
        </w:tc>
        <w:tc>
          <w:tcPr>
            <w:tcW w:w="771" w:type="pct"/>
            <w:vMerge/>
            <w:tcBorders>
              <w:left w:val="nil"/>
              <w:right w:val="nil"/>
            </w:tcBorders>
            <w:shd w:val="clear" w:color="auto" w:fill="auto"/>
            <w:noWrap/>
            <w:hideMark/>
          </w:tcPr>
          <w:p w:rsidR="00392C84" w:rsidRPr="00392C84" w:rsidRDefault="00392C84" w:rsidP="00392C84"/>
        </w:tc>
        <w:tc>
          <w:tcPr>
            <w:tcW w:w="660" w:type="pct"/>
            <w:tcBorders>
              <w:left w:val="nil"/>
              <w:right w:val="nil"/>
            </w:tcBorders>
            <w:shd w:val="clear" w:color="auto" w:fill="auto"/>
            <w:noWrap/>
            <w:vAlign w:val="center"/>
            <w:hideMark/>
          </w:tcPr>
          <w:p w:rsidR="00392C84" w:rsidRPr="00392C84" w:rsidRDefault="00392C84" w:rsidP="00392C84">
            <w:r w:rsidRPr="00392C84">
              <w:t>(2.77)***</w:t>
            </w:r>
          </w:p>
        </w:tc>
        <w:tc>
          <w:tcPr>
            <w:tcW w:w="601" w:type="pct"/>
            <w:tcBorders>
              <w:left w:val="nil"/>
              <w:right w:val="nil"/>
            </w:tcBorders>
            <w:shd w:val="clear" w:color="auto" w:fill="auto"/>
            <w:noWrap/>
            <w:vAlign w:val="center"/>
            <w:hideMark/>
          </w:tcPr>
          <w:p w:rsidR="00392C84" w:rsidRPr="00392C84" w:rsidRDefault="00392C84" w:rsidP="00392C84">
            <w:r w:rsidRPr="00392C84">
              <w:t>(1.97)**</w:t>
            </w:r>
          </w:p>
        </w:tc>
        <w:tc>
          <w:tcPr>
            <w:tcW w:w="756" w:type="pct"/>
            <w:tcBorders>
              <w:left w:val="nil"/>
              <w:right w:val="nil"/>
            </w:tcBorders>
            <w:shd w:val="clear" w:color="auto" w:fill="auto"/>
            <w:noWrap/>
            <w:vAlign w:val="center"/>
            <w:hideMark/>
          </w:tcPr>
          <w:p w:rsidR="00392C84" w:rsidRPr="00392C84" w:rsidRDefault="00392C84" w:rsidP="00392C84">
            <w:r w:rsidRPr="00392C84">
              <w:t>(1.81)*</w:t>
            </w:r>
          </w:p>
        </w:tc>
        <w:tc>
          <w:tcPr>
            <w:tcW w:w="611" w:type="pct"/>
            <w:tcBorders>
              <w:left w:val="nil"/>
              <w:right w:val="nil"/>
            </w:tcBorders>
            <w:shd w:val="clear" w:color="auto" w:fill="auto"/>
            <w:noWrap/>
            <w:vAlign w:val="center"/>
            <w:hideMark/>
          </w:tcPr>
          <w:p w:rsidR="00392C84" w:rsidRPr="00392C84" w:rsidRDefault="00392C84" w:rsidP="00392C84">
            <w:r w:rsidRPr="00392C84">
              <w:t>(1.34)</w:t>
            </w:r>
          </w:p>
        </w:tc>
        <w:tc>
          <w:tcPr>
            <w:tcW w:w="601" w:type="pct"/>
            <w:tcBorders>
              <w:left w:val="nil"/>
              <w:right w:val="nil"/>
            </w:tcBorders>
            <w:shd w:val="clear" w:color="auto" w:fill="auto"/>
            <w:noWrap/>
            <w:vAlign w:val="center"/>
            <w:hideMark/>
          </w:tcPr>
          <w:p w:rsidR="00392C84" w:rsidRPr="00392C84" w:rsidRDefault="00392C84" w:rsidP="00392C84">
            <w:r w:rsidRPr="00392C84">
              <w:t>(1.54)</w:t>
            </w:r>
          </w:p>
        </w:tc>
      </w:tr>
      <w:tr w:rsidR="00392C84" w:rsidRPr="00392C84" w:rsidTr="00392C84">
        <w:trPr>
          <w:trHeight w:val="74"/>
        </w:trPr>
        <w:tc>
          <w:tcPr>
            <w:tcW w:w="1000" w:type="pct"/>
            <w:vMerge w:val="restart"/>
            <w:tcBorders>
              <w:top w:val="nil"/>
              <w:left w:val="nil"/>
              <w:right w:val="nil"/>
            </w:tcBorders>
            <w:shd w:val="clear" w:color="auto" w:fill="auto"/>
            <w:noWrap/>
            <w:hideMark/>
          </w:tcPr>
          <w:p w:rsidR="00392C84" w:rsidRPr="00392C84" w:rsidRDefault="00392C84" w:rsidP="00392C84">
            <w:r w:rsidRPr="00392C84">
              <w:t>Buying</w:t>
            </w:r>
          </w:p>
          <w:p w:rsidR="00392C84" w:rsidRPr="00392C84" w:rsidRDefault="00392C84" w:rsidP="00392C84">
            <w:r w:rsidRPr="00392C84">
              <w:t>(</w:t>
            </w:r>
            <w:proofErr w:type="spellStart"/>
            <w:r w:rsidRPr="00392C84">
              <w:t>decile</w:t>
            </w:r>
            <w:proofErr w:type="spellEnd"/>
            <w:r w:rsidRPr="00392C84">
              <w:t xml:space="preserve"> 9 &amp; 10)</w:t>
            </w:r>
          </w:p>
        </w:tc>
        <w:tc>
          <w:tcPr>
            <w:tcW w:w="771" w:type="pct"/>
            <w:vMerge w:val="restart"/>
            <w:tcBorders>
              <w:top w:val="nil"/>
              <w:left w:val="nil"/>
              <w:right w:val="nil"/>
            </w:tcBorders>
            <w:shd w:val="clear" w:color="auto" w:fill="auto"/>
            <w:noWrap/>
            <w:hideMark/>
          </w:tcPr>
          <w:p w:rsidR="00392C84" w:rsidRPr="00392C84" w:rsidRDefault="00392C84" w:rsidP="00392C84">
            <w:r w:rsidRPr="00392C84">
              <w:t>Mean</w:t>
            </w:r>
          </w:p>
          <w:p w:rsidR="00392C84" w:rsidRPr="00392C84" w:rsidRDefault="00392C84" w:rsidP="00392C84">
            <w:r w:rsidRPr="00392C84">
              <w:t>t-statistics</w:t>
            </w:r>
          </w:p>
        </w:tc>
        <w:tc>
          <w:tcPr>
            <w:tcW w:w="660" w:type="pct"/>
            <w:tcBorders>
              <w:top w:val="nil"/>
              <w:left w:val="nil"/>
              <w:right w:val="nil"/>
            </w:tcBorders>
            <w:shd w:val="clear" w:color="auto" w:fill="auto"/>
            <w:noWrap/>
            <w:vAlign w:val="center"/>
            <w:hideMark/>
          </w:tcPr>
          <w:p w:rsidR="00392C84" w:rsidRPr="00392C84" w:rsidRDefault="00392C84" w:rsidP="00392C84">
            <w:r w:rsidRPr="00392C84">
              <w:t>0.0788</w:t>
            </w:r>
          </w:p>
        </w:tc>
        <w:tc>
          <w:tcPr>
            <w:tcW w:w="601" w:type="pct"/>
            <w:tcBorders>
              <w:top w:val="nil"/>
              <w:left w:val="nil"/>
              <w:right w:val="nil"/>
            </w:tcBorders>
            <w:shd w:val="clear" w:color="auto" w:fill="auto"/>
            <w:noWrap/>
            <w:vAlign w:val="center"/>
            <w:hideMark/>
          </w:tcPr>
          <w:p w:rsidR="00392C84" w:rsidRPr="00392C84" w:rsidRDefault="00392C84" w:rsidP="00392C84">
            <w:r w:rsidRPr="00392C84">
              <w:t>0.2111</w:t>
            </w:r>
          </w:p>
        </w:tc>
        <w:tc>
          <w:tcPr>
            <w:tcW w:w="756" w:type="pct"/>
            <w:tcBorders>
              <w:top w:val="nil"/>
              <w:left w:val="nil"/>
              <w:right w:val="nil"/>
            </w:tcBorders>
            <w:shd w:val="clear" w:color="auto" w:fill="auto"/>
            <w:noWrap/>
            <w:vAlign w:val="center"/>
            <w:hideMark/>
          </w:tcPr>
          <w:p w:rsidR="00392C84" w:rsidRPr="00392C84" w:rsidRDefault="00392C84" w:rsidP="00392C84">
            <w:r w:rsidRPr="00392C84">
              <w:t>-0.2051</w:t>
            </w:r>
          </w:p>
        </w:tc>
        <w:tc>
          <w:tcPr>
            <w:tcW w:w="611" w:type="pct"/>
            <w:tcBorders>
              <w:top w:val="nil"/>
              <w:left w:val="nil"/>
              <w:right w:val="nil"/>
            </w:tcBorders>
            <w:shd w:val="clear" w:color="auto" w:fill="auto"/>
            <w:noWrap/>
            <w:vAlign w:val="center"/>
            <w:hideMark/>
          </w:tcPr>
          <w:p w:rsidR="00392C84" w:rsidRPr="00392C84" w:rsidRDefault="00392C84" w:rsidP="00392C84">
            <w:r w:rsidRPr="00392C84">
              <w:t>-0.0944</w:t>
            </w:r>
          </w:p>
        </w:tc>
        <w:tc>
          <w:tcPr>
            <w:tcW w:w="601" w:type="pct"/>
            <w:tcBorders>
              <w:top w:val="nil"/>
              <w:left w:val="nil"/>
              <w:right w:val="nil"/>
            </w:tcBorders>
            <w:shd w:val="clear" w:color="auto" w:fill="auto"/>
            <w:noWrap/>
            <w:vAlign w:val="center"/>
            <w:hideMark/>
          </w:tcPr>
          <w:p w:rsidR="00392C84" w:rsidRPr="00392C84" w:rsidRDefault="00392C84" w:rsidP="00392C84">
            <w:r w:rsidRPr="00392C84">
              <w:t>0.2435</w:t>
            </w:r>
          </w:p>
        </w:tc>
      </w:tr>
      <w:tr w:rsidR="00392C84" w:rsidRPr="00392C84" w:rsidTr="00392C84">
        <w:trPr>
          <w:trHeight w:val="74"/>
        </w:trPr>
        <w:tc>
          <w:tcPr>
            <w:tcW w:w="1000" w:type="pct"/>
            <w:vMerge/>
            <w:tcBorders>
              <w:left w:val="nil"/>
              <w:right w:val="nil"/>
            </w:tcBorders>
            <w:shd w:val="clear" w:color="auto" w:fill="auto"/>
            <w:noWrap/>
            <w:hideMark/>
          </w:tcPr>
          <w:p w:rsidR="00392C84" w:rsidRPr="00392C84" w:rsidRDefault="00392C84" w:rsidP="00392C84"/>
        </w:tc>
        <w:tc>
          <w:tcPr>
            <w:tcW w:w="771" w:type="pct"/>
            <w:vMerge/>
            <w:tcBorders>
              <w:left w:val="nil"/>
              <w:right w:val="nil"/>
            </w:tcBorders>
            <w:shd w:val="clear" w:color="auto" w:fill="auto"/>
            <w:noWrap/>
            <w:hideMark/>
          </w:tcPr>
          <w:p w:rsidR="00392C84" w:rsidRPr="00392C84" w:rsidRDefault="00392C84" w:rsidP="00392C84"/>
        </w:tc>
        <w:tc>
          <w:tcPr>
            <w:tcW w:w="660" w:type="pct"/>
            <w:tcBorders>
              <w:top w:val="nil"/>
              <w:left w:val="nil"/>
              <w:right w:val="nil"/>
            </w:tcBorders>
            <w:shd w:val="clear" w:color="auto" w:fill="auto"/>
            <w:noWrap/>
            <w:vAlign w:val="center"/>
            <w:hideMark/>
          </w:tcPr>
          <w:p w:rsidR="00392C84" w:rsidRPr="00392C84" w:rsidRDefault="00392C84" w:rsidP="00392C84">
            <w:r w:rsidRPr="00392C84">
              <w:t>(0.18)</w:t>
            </w:r>
          </w:p>
        </w:tc>
        <w:tc>
          <w:tcPr>
            <w:tcW w:w="601" w:type="pct"/>
            <w:tcBorders>
              <w:top w:val="nil"/>
              <w:left w:val="nil"/>
              <w:right w:val="nil"/>
            </w:tcBorders>
            <w:shd w:val="clear" w:color="auto" w:fill="auto"/>
            <w:noWrap/>
            <w:vAlign w:val="center"/>
            <w:hideMark/>
          </w:tcPr>
          <w:p w:rsidR="00392C84" w:rsidRPr="00392C84" w:rsidRDefault="00392C84" w:rsidP="00392C84">
            <w:r w:rsidRPr="00392C84">
              <w:t>(0.73)</w:t>
            </w:r>
          </w:p>
        </w:tc>
        <w:tc>
          <w:tcPr>
            <w:tcW w:w="756" w:type="pct"/>
            <w:tcBorders>
              <w:top w:val="nil"/>
              <w:left w:val="nil"/>
              <w:right w:val="nil"/>
            </w:tcBorders>
            <w:shd w:val="clear" w:color="auto" w:fill="auto"/>
            <w:noWrap/>
            <w:vAlign w:val="center"/>
            <w:hideMark/>
          </w:tcPr>
          <w:p w:rsidR="00392C84" w:rsidRPr="00392C84" w:rsidRDefault="00392C84" w:rsidP="00392C84">
            <w:r w:rsidRPr="00392C84">
              <w:t>(-0.55)</w:t>
            </w:r>
          </w:p>
        </w:tc>
        <w:tc>
          <w:tcPr>
            <w:tcW w:w="611" w:type="pct"/>
            <w:tcBorders>
              <w:top w:val="nil"/>
              <w:left w:val="nil"/>
              <w:right w:val="nil"/>
            </w:tcBorders>
            <w:shd w:val="clear" w:color="auto" w:fill="auto"/>
            <w:noWrap/>
            <w:vAlign w:val="center"/>
            <w:hideMark/>
          </w:tcPr>
          <w:p w:rsidR="00392C84" w:rsidRPr="00392C84" w:rsidRDefault="00392C84" w:rsidP="00392C84">
            <w:r w:rsidRPr="00392C84">
              <w:t>(-0.30)</w:t>
            </w:r>
          </w:p>
        </w:tc>
        <w:tc>
          <w:tcPr>
            <w:tcW w:w="601" w:type="pct"/>
            <w:tcBorders>
              <w:top w:val="nil"/>
              <w:left w:val="nil"/>
              <w:right w:val="nil"/>
            </w:tcBorders>
            <w:shd w:val="clear" w:color="auto" w:fill="auto"/>
            <w:noWrap/>
            <w:vAlign w:val="center"/>
            <w:hideMark/>
          </w:tcPr>
          <w:p w:rsidR="00392C84" w:rsidRPr="00392C84" w:rsidRDefault="00392C84" w:rsidP="00392C84">
            <w:r w:rsidRPr="00392C84">
              <w:t>(0.53)</w:t>
            </w:r>
          </w:p>
        </w:tc>
      </w:tr>
      <w:tr w:rsidR="00392C84" w:rsidRPr="00392C84" w:rsidTr="00392C84">
        <w:trPr>
          <w:trHeight w:val="74"/>
        </w:trPr>
        <w:tc>
          <w:tcPr>
            <w:tcW w:w="1000" w:type="pct"/>
            <w:vMerge w:val="restart"/>
            <w:tcBorders>
              <w:top w:val="nil"/>
              <w:left w:val="nil"/>
              <w:right w:val="nil"/>
            </w:tcBorders>
            <w:shd w:val="clear" w:color="auto" w:fill="auto"/>
            <w:noWrap/>
            <w:hideMark/>
          </w:tcPr>
          <w:p w:rsidR="00392C84" w:rsidRPr="00392C84" w:rsidRDefault="00392C84" w:rsidP="00392C84">
            <w:r w:rsidRPr="00392C84">
              <w:t>Intense Buying</w:t>
            </w:r>
          </w:p>
          <w:p w:rsidR="00392C84" w:rsidRPr="00392C84" w:rsidRDefault="00392C84" w:rsidP="00392C84">
            <w:r w:rsidRPr="00392C84">
              <w:t>(</w:t>
            </w:r>
            <w:proofErr w:type="spellStart"/>
            <w:r w:rsidRPr="00392C84">
              <w:t>decile</w:t>
            </w:r>
            <w:proofErr w:type="spellEnd"/>
            <w:r w:rsidRPr="00392C84">
              <w:t xml:space="preserve"> 10)</w:t>
            </w:r>
          </w:p>
        </w:tc>
        <w:tc>
          <w:tcPr>
            <w:tcW w:w="771" w:type="pct"/>
            <w:vMerge w:val="restart"/>
            <w:tcBorders>
              <w:top w:val="nil"/>
              <w:left w:val="nil"/>
              <w:right w:val="nil"/>
            </w:tcBorders>
            <w:shd w:val="clear" w:color="auto" w:fill="auto"/>
            <w:noWrap/>
            <w:hideMark/>
          </w:tcPr>
          <w:p w:rsidR="00392C84" w:rsidRPr="00392C84" w:rsidRDefault="00392C84" w:rsidP="00392C84">
            <w:r w:rsidRPr="00392C84">
              <w:t>Mean</w:t>
            </w:r>
          </w:p>
          <w:p w:rsidR="00392C84" w:rsidRPr="00392C84" w:rsidRDefault="00392C84" w:rsidP="00392C84">
            <w:r w:rsidRPr="00392C84">
              <w:t>t-statistics</w:t>
            </w:r>
          </w:p>
        </w:tc>
        <w:tc>
          <w:tcPr>
            <w:tcW w:w="660" w:type="pct"/>
            <w:tcBorders>
              <w:top w:val="nil"/>
              <w:left w:val="nil"/>
              <w:bottom w:val="nil"/>
              <w:right w:val="nil"/>
            </w:tcBorders>
            <w:shd w:val="clear" w:color="auto" w:fill="auto"/>
            <w:noWrap/>
            <w:vAlign w:val="center"/>
            <w:hideMark/>
          </w:tcPr>
          <w:p w:rsidR="00392C84" w:rsidRPr="00392C84" w:rsidRDefault="00392C84" w:rsidP="00392C84">
            <w:r w:rsidRPr="00392C84">
              <w:t>0.1293</w:t>
            </w:r>
          </w:p>
        </w:tc>
        <w:tc>
          <w:tcPr>
            <w:tcW w:w="601" w:type="pct"/>
            <w:tcBorders>
              <w:top w:val="nil"/>
              <w:left w:val="nil"/>
              <w:bottom w:val="nil"/>
              <w:right w:val="nil"/>
            </w:tcBorders>
            <w:shd w:val="clear" w:color="auto" w:fill="auto"/>
            <w:noWrap/>
            <w:vAlign w:val="center"/>
            <w:hideMark/>
          </w:tcPr>
          <w:p w:rsidR="00392C84" w:rsidRPr="00392C84" w:rsidRDefault="00392C84" w:rsidP="00392C84">
            <w:r w:rsidRPr="00392C84">
              <w:t>0.0233</w:t>
            </w:r>
          </w:p>
        </w:tc>
        <w:tc>
          <w:tcPr>
            <w:tcW w:w="756" w:type="pct"/>
            <w:tcBorders>
              <w:top w:val="nil"/>
              <w:left w:val="nil"/>
              <w:bottom w:val="nil"/>
              <w:right w:val="nil"/>
            </w:tcBorders>
            <w:shd w:val="clear" w:color="auto" w:fill="auto"/>
            <w:noWrap/>
            <w:vAlign w:val="center"/>
            <w:hideMark/>
          </w:tcPr>
          <w:p w:rsidR="00392C84" w:rsidRPr="00392C84" w:rsidRDefault="00392C84" w:rsidP="00392C84">
            <w:r w:rsidRPr="00392C84">
              <w:t>-1.0708</w:t>
            </w:r>
          </w:p>
        </w:tc>
        <w:tc>
          <w:tcPr>
            <w:tcW w:w="611" w:type="pct"/>
            <w:tcBorders>
              <w:top w:val="nil"/>
              <w:left w:val="nil"/>
              <w:bottom w:val="nil"/>
              <w:right w:val="nil"/>
            </w:tcBorders>
            <w:shd w:val="clear" w:color="auto" w:fill="auto"/>
            <w:noWrap/>
            <w:vAlign w:val="center"/>
            <w:hideMark/>
          </w:tcPr>
          <w:p w:rsidR="00392C84" w:rsidRPr="00392C84" w:rsidRDefault="00392C84" w:rsidP="00392C84">
            <w:r w:rsidRPr="00392C84">
              <w:t>0.7423</w:t>
            </w:r>
          </w:p>
        </w:tc>
        <w:tc>
          <w:tcPr>
            <w:tcW w:w="601" w:type="pct"/>
            <w:tcBorders>
              <w:top w:val="nil"/>
              <w:left w:val="nil"/>
              <w:bottom w:val="nil"/>
              <w:right w:val="nil"/>
            </w:tcBorders>
            <w:shd w:val="clear" w:color="auto" w:fill="auto"/>
            <w:noWrap/>
            <w:vAlign w:val="center"/>
            <w:hideMark/>
          </w:tcPr>
          <w:p w:rsidR="00392C84" w:rsidRPr="00392C84" w:rsidRDefault="00392C84" w:rsidP="00392C84">
            <w:r w:rsidRPr="00392C84">
              <w:t>1.4443</w:t>
            </w:r>
          </w:p>
        </w:tc>
      </w:tr>
      <w:tr w:rsidR="00392C84" w:rsidRPr="00392C84" w:rsidTr="00392C84">
        <w:trPr>
          <w:trHeight w:val="74"/>
        </w:trPr>
        <w:tc>
          <w:tcPr>
            <w:tcW w:w="1000" w:type="pct"/>
            <w:vMerge/>
            <w:tcBorders>
              <w:left w:val="nil"/>
              <w:bottom w:val="single" w:sz="4" w:space="0" w:color="auto"/>
              <w:right w:val="nil"/>
            </w:tcBorders>
            <w:shd w:val="clear" w:color="auto" w:fill="auto"/>
            <w:noWrap/>
            <w:hideMark/>
          </w:tcPr>
          <w:p w:rsidR="00392C84" w:rsidRPr="00392C84" w:rsidRDefault="00392C84" w:rsidP="00392C84"/>
        </w:tc>
        <w:tc>
          <w:tcPr>
            <w:tcW w:w="771" w:type="pct"/>
            <w:vMerge/>
            <w:tcBorders>
              <w:left w:val="nil"/>
              <w:bottom w:val="single" w:sz="4" w:space="0" w:color="auto"/>
              <w:right w:val="nil"/>
            </w:tcBorders>
            <w:shd w:val="clear" w:color="auto" w:fill="auto"/>
            <w:noWrap/>
            <w:hideMark/>
          </w:tcPr>
          <w:p w:rsidR="00392C84" w:rsidRPr="00392C84" w:rsidRDefault="00392C84" w:rsidP="00392C84"/>
        </w:tc>
        <w:tc>
          <w:tcPr>
            <w:tcW w:w="660" w:type="pct"/>
            <w:tcBorders>
              <w:top w:val="nil"/>
              <w:left w:val="nil"/>
              <w:bottom w:val="single" w:sz="4" w:space="0" w:color="auto"/>
              <w:right w:val="nil"/>
            </w:tcBorders>
            <w:shd w:val="clear" w:color="auto" w:fill="auto"/>
            <w:noWrap/>
            <w:vAlign w:val="center"/>
            <w:hideMark/>
          </w:tcPr>
          <w:p w:rsidR="00392C84" w:rsidRPr="00392C84" w:rsidRDefault="00392C84" w:rsidP="00392C84">
            <w:r w:rsidRPr="00392C84">
              <w:t>(0.24)</w:t>
            </w:r>
          </w:p>
        </w:tc>
        <w:tc>
          <w:tcPr>
            <w:tcW w:w="601" w:type="pct"/>
            <w:tcBorders>
              <w:top w:val="nil"/>
              <w:left w:val="nil"/>
              <w:bottom w:val="single" w:sz="4" w:space="0" w:color="auto"/>
              <w:right w:val="nil"/>
            </w:tcBorders>
            <w:shd w:val="clear" w:color="auto" w:fill="auto"/>
            <w:noWrap/>
            <w:vAlign w:val="center"/>
            <w:hideMark/>
          </w:tcPr>
          <w:p w:rsidR="00392C84" w:rsidRPr="00392C84" w:rsidRDefault="00392C84" w:rsidP="00392C84">
            <w:r w:rsidRPr="00392C84">
              <w:t>(0.06)</w:t>
            </w:r>
          </w:p>
        </w:tc>
        <w:tc>
          <w:tcPr>
            <w:tcW w:w="756" w:type="pct"/>
            <w:tcBorders>
              <w:top w:val="nil"/>
              <w:left w:val="nil"/>
              <w:bottom w:val="single" w:sz="4" w:space="0" w:color="auto"/>
              <w:right w:val="nil"/>
            </w:tcBorders>
            <w:shd w:val="clear" w:color="auto" w:fill="auto"/>
            <w:noWrap/>
            <w:vAlign w:val="center"/>
            <w:hideMark/>
          </w:tcPr>
          <w:p w:rsidR="00392C84" w:rsidRPr="00392C84" w:rsidRDefault="00392C84" w:rsidP="00392C84">
            <w:r w:rsidRPr="00392C84">
              <w:t>(-2.43)***</w:t>
            </w:r>
          </w:p>
        </w:tc>
        <w:tc>
          <w:tcPr>
            <w:tcW w:w="611" w:type="pct"/>
            <w:tcBorders>
              <w:top w:val="nil"/>
              <w:left w:val="nil"/>
              <w:bottom w:val="single" w:sz="4" w:space="0" w:color="auto"/>
              <w:right w:val="nil"/>
            </w:tcBorders>
            <w:shd w:val="clear" w:color="auto" w:fill="auto"/>
            <w:noWrap/>
            <w:vAlign w:val="center"/>
            <w:hideMark/>
          </w:tcPr>
          <w:p w:rsidR="00392C84" w:rsidRPr="00392C84" w:rsidRDefault="00392C84" w:rsidP="00392C84">
            <w:r w:rsidRPr="00392C84">
              <w:t>(1.82)*</w:t>
            </w:r>
          </w:p>
        </w:tc>
        <w:tc>
          <w:tcPr>
            <w:tcW w:w="601" w:type="pct"/>
            <w:tcBorders>
              <w:top w:val="nil"/>
              <w:left w:val="nil"/>
              <w:bottom w:val="single" w:sz="4" w:space="0" w:color="auto"/>
              <w:right w:val="nil"/>
            </w:tcBorders>
            <w:shd w:val="clear" w:color="auto" w:fill="auto"/>
            <w:noWrap/>
            <w:vAlign w:val="center"/>
            <w:hideMark/>
          </w:tcPr>
          <w:p w:rsidR="00392C84" w:rsidRPr="00392C84" w:rsidRDefault="00392C84" w:rsidP="00392C84">
            <w:r w:rsidRPr="00392C84">
              <w:t>(2.11)**</w:t>
            </w:r>
          </w:p>
        </w:tc>
      </w:tr>
    </w:tbl>
    <w:p w:rsidR="00392C84" w:rsidRPr="00392C84" w:rsidRDefault="00392C84" w:rsidP="00392C84"/>
    <w:p w:rsidR="00392C84" w:rsidRPr="00392C84" w:rsidRDefault="00392C84"/>
    <w:p w:rsidR="00392C84" w:rsidRDefault="00392C84"/>
    <w:p w:rsidR="00392C84" w:rsidRPr="004C0A5F" w:rsidRDefault="00392C84" w:rsidP="00CF6042">
      <w:pPr>
        <w:spacing w:line="276" w:lineRule="auto"/>
        <w:rPr>
          <w:b/>
          <w:sz w:val="24"/>
        </w:rPr>
      </w:pPr>
      <w:r w:rsidRPr="004C0A5F">
        <w:rPr>
          <w:rFonts w:hint="eastAsia"/>
          <w:b/>
          <w:sz w:val="24"/>
        </w:rPr>
        <w:t>4.</w:t>
      </w:r>
      <w:r>
        <w:rPr>
          <w:rFonts w:hint="eastAsia"/>
          <w:b/>
          <w:sz w:val="24"/>
        </w:rPr>
        <w:t>3</w:t>
      </w:r>
      <w:r w:rsidRPr="004C0A5F">
        <w:rPr>
          <w:rFonts w:hint="eastAsia"/>
          <w:b/>
          <w:sz w:val="24"/>
        </w:rPr>
        <w:t xml:space="preserve"> </w:t>
      </w:r>
      <w:r w:rsidR="00203AE7">
        <w:rPr>
          <w:rFonts w:hint="eastAsia"/>
          <w:b/>
          <w:sz w:val="24"/>
        </w:rPr>
        <w:t>국내</w:t>
      </w:r>
      <w:r w:rsidRPr="004C0A5F">
        <w:rPr>
          <w:rFonts w:hint="eastAsia"/>
          <w:b/>
          <w:sz w:val="24"/>
        </w:rPr>
        <w:t>기관투자자의 이질성에 대한 분석: 증권회사와 투자회사</w:t>
      </w:r>
    </w:p>
    <w:p w:rsidR="009E7C26" w:rsidRDefault="009E7C26" w:rsidP="009E7C26">
      <w:pPr>
        <w:spacing w:line="276" w:lineRule="auto"/>
        <w:ind w:firstLineChars="100" w:firstLine="200"/>
      </w:pPr>
      <w:r>
        <w:rPr>
          <w:rFonts w:hint="eastAsia"/>
        </w:rPr>
        <w:t xml:space="preserve">국내 및 외국인 </w:t>
      </w:r>
      <w:r w:rsidR="00290146" w:rsidRPr="00290146">
        <w:t xml:space="preserve">기관투자자에 대한 이상의 결과를 </w:t>
      </w:r>
      <w:r>
        <w:rPr>
          <w:rFonts w:hint="eastAsia"/>
        </w:rPr>
        <w:t xml:space="preserve">종합하면, 외국인투자자가 변동성 정보거래를 수행하는데 비해, 국내 기관투자자는 변동성 거래에서 유의한 특성이 관찰되지 않았다. 4.1장의 </w:t>
      </w:r>
      <w:proofErr w:type="spellStart"/>
      <w:r>
        <w:rPr>
          <w:rFonts w:hint="eastAsia"/>
        </w:rPr>
        <w:t>동시점</w:t>
      </w:r>
      <w:proofErr w:type="spellEnd"/>
      <w:r>
        <w:rPr>
          <w:rFonts w:hint="eastAsia"/>
        </w:rPr>
        <w:t xml:space="preserve"> 선형관계 뿐만 아니라 비선형성 및 전후 변동성을 살펴본 </w:t>
      </w:r>
      <w:proofErr w:type="spellStart"/>
      <w:r>
        <w:rPr>
          <w:rFonts w:hint="eastAsia"/>
        </w:rPr>
        <w:t>Kaniel</w:t>
      </w:r>
      <w:proofErr w:type="spellEnd"/>
      <w:r>
        <w:rPr>
          <w:rFonts w:hint="eastAsia"/>
        </w:rPr>
        <w:t xml:space="preserve"> et al</w:t>
      </w:r>
      <w:proofErr w:type="gramStart"/>
      <w:r>
        <w:rPr>
          <w:rFonts w:hint="eastAsia"/>
        </w:rPr>
        <w:t>.(</w:t>
      </w:r>
      <w:proofErr w:type="gramEnd"/>
      <w:r>
        <w:rPr>
          <w:rFonts w:hint="eastAsia"/>
        </w:rPr>
        <w:t xml:space="preserve">2008)의 </w:t>
      </w:r>
      <w:proofErr w:type="spellStart"/>
      <w:r>
        <w:rPr>
          <w:rFonts w:hint="eastAsia"/>
        </w:rPr>
        <w:t>decile</w:t>
      </w:r>
      <w:proofErr w:type="spellEnd"/>
      <w:r>
        <w:rPr>
          <w:rFonts w:hint="eastAsia"/>
        </w:rPr>
        <w:t xml:space="preserve"> 분석에서도 유의성이 관찰되지 않았다. </w:t>
      </w:r>
    </w:p>
    <w:p w:rsidR="00290146" w:rsidRDefault="009E7C26" w:rsidP="009E7C26">
      <w:pPr>
        <w:spacing w:line="276" w:lineRule="auto"/>
        <w:ind w:firstLineChars="100" w:firstLine="200"/>
      </w:pPr>
      <w:r>
        <w:rPr>
          <w:rFonts w:hint="eastAsia"/>
        </w:rPr>
        <w:t>국내기관투자자에 대한 결과를 해석하기 위하여 다음의 두 가지 가능성을 고려하였다. 하나는 국내기관투자자의 거래행태가 비정형적이고 불규칙하여 고유한 패턴을 관찰되지 못할 가능성이며, 다른 하나는 국내</w:t>
      </w:r>
      <w:r w:rsidR="00290146" w:rsidRPr="00290146">
        <w:t xml:space="preserve">기관투자자의 범주가 너무 넓어 여러 특성의 </w:t>
      </w:r>
      <w:r>
        <w:rPr>
          <w:rFonts w:hint="eastAsia"/>
        </w:rPr>
        <w:t>국내</w:t>
      </w:r>
      <w:r w:rsidR="00290146" w:rsidRPr="00290146">
        <w:t>기관투자자들의 영향력이 혼합되어 있</w:t>
      </w:r>
      <w:r>
        <w:rPr>
          <w:rFonts w:hint="eastAsia"/>
        </w:rPr>
        <w:t xml:space="preserve">을 가능성이다. </w:t>
      </w:r>
      <w:r w:rsidR="00290146" w:rsidRPr="00290146">
        <w:t>본고에서는 두 번째 가능성을 확인하기 위하여, 기관투자자의 분류에 속하</w:t>
      </w:r>
      <w:r w:rsidR="00290146" w:rsidRPr="00290146">
        <w:lastRenderedPageBreak/>
        <w:t xml:space="preserve">지만 다른 특성을 보일 것으로 생각되는 증권회사와 투자회사에 대해 동일한 분석을 수행하였다. </w:t>
      </w:r>
    </w:p>
    <w:p w:rsidR="00290146" w:rsidRDefault="00290146" w:rsidP="009E7C26">
      <w:pPr>
        <w:spacing w:line="276" w:lineRule="auto"/>
        <w:ind w:firstLineChars="100" w:firstLine="200"/>
      </w:pPr>
      <w:r w:rsidRPr="00290146">
        <w:t xml:space="preserve">이 중 증권회사는 전체 기관투자자 거래량의 90%를 초과하는 거래비중을 차지하고 있으며, 대부분의 거래는 자기 자금을 이용한 자체 거래 또는 구조화 상품을 발행한 이후 이루어지는 헤지 거래 등으로 파악된다. 반면, 투자회사는 파생상품 운용펀드와 같이 특정한 목적으로 다수의 사람들에게 자금을 모집한 후 이 자금으로 파생상품 거래를 수행한다. 따라서 증권회사는 대부분 포지션을 오랫동안 유지하기 보다는 </w:t>
      </w:r>
      <w:r w:rsidR="009B56D6">
        <w:rPr>
          <w:rFonts w:hint="eastAsia"/>
        </w:rPr>
        <w:t xml:space="preserve">단기차익을 위한 </w:t>
      </w:r>
      <w:proofErr w:type="spellStart"/>
      <w:r w:rsidR="009B56D6">
        <w:rPr>
          <w:rFonts w:hint="eastAsia"/>
        </w:rPr>
        <w:t>고</w:t>
      </w:r>
      <w:r w:rsidRPr="00290146">
        <w:t>빈도</w:t>
      </w:r>
      <w:proofErr w:type="spellEnd"/>
      <w:r w:rsidR="009B56D6">
        <w:rPr>
          <w:rFonts w:hint="eastAsia"/>
        </w:rPr>
        <w:t xml:space="preserve"> 거래를 수행하는 반면, </w:t>
      </w:r>
      <w:r w:rsidRPr="00290146">
        <w:t xml:space="preserve">투자회사는 비교적 거래빈도가 낮으며 </w:t>
      </w:r>
      <w:r w:rsidR="009B56D6">
        <w:rPr>
          <w:rFonts w:hint="eastAsia"/>
        </w:rPr>
        <w:t>투자기간도</w:t>
      </w:r>
      <w:r w:rsidRPr="00290146">
        <w:t xml:space="preserve"> 증권회사에 비해 오랫동안 유지하는 경향이 있다. </w:t>
      </w:r>
    </w:p>
    <w:p w:rsidR="00290146" w:rsidRDefault="00290146" w:rsidP="009B56D6">
      <w:pPr>
        <w:spacing w:line="276" w:lineRule="auto"/>
        <w:ind w:firstLineChars="100" w:firstLine="200"/>
      </w:pPr>
      <w:r w:rsidRPr="00290146">
        <w:t xml:space="preserve">증권회사의 </w:t>
      </w:r>
      <w:r w:rsidR="0034490A">
        <w:t>거래강도</w:t>
      </w:r>
      <w:r w:rsidR="0034490A">
        <w:rPr>
          <w:rFonts w:hint="eastAsia"/>
        </w:rPr>
        <w:t xml:space="preserve">와 </w:t>
      </w:r>
      <w:r w:rsidRPr="00290146">
        <w:t>내재변동성</w:t>
      </w:r>
      <w:r w:rsidR="0034490A">
        <w:rPr>
          <w:rFonts w:hint="eastAsia"/>
        </w:rPr>
        <w:t xml:space="preserve"> 사이의 관계를 </w:t>
      </w:r>
      <w:r w:rsidRPr="00290146">
        <w:t xml:space="preserve">확인하기 위하여, </w:t>
      </w:r>
      <w:r w:rsidR="0034490A">
        <w:rPr>
          <w:rFonts w:hint="eastAsia"/>
        </w:rPr>
        <w:t xml:space="preserve">국내기관투자자 중 증권회사만을 이용해 계산한 </w:t>
      </w:r>
      <w:r w:rsidRPr="00290146">
        <w:t xml:space="preserve">증권회사거래강도를 이용해 모형 2-5의 분석을 다시 수행하였으며, 그 결과는 </w:t>
      </w:r>
      <w:r w:rsidR="0034490A">
        <w:rPr>
          <w:rFonts w:hint="eastAsia"/>
        </w:rPr>
        <w:t>&lt;</w:t>
      </w:r>
      <w:r w:rsidRPr="00290146">
        <w:t>표</w:t>
      </w:r>
      <w:r w:rsidR="0034490A">
        <w:t xml:space="preserve"> </w:t>
      </w:r>
      <w:r w:rsidR="0034490A">
        <w:rPr>
          <w:rFonts w:hint="eastAsia"/>
        </w:rPr>
        <w:t>8: Panel A&gt;</w:t>
      </w:r>
      <w:r w:rsidRPr="00290146">
        <w:t xml:space="preserve">에 정리하였다. 결과를 보면 증권회사와 내재변동성의 선형관계는 전체 기관투자자에 대한 결과와 유사하다. 물론 모형 2를 보면 10% 신뢰수준 하에서 증권회사의 </w:t>
      </w:r>
      <w:r w:rsidR="0034490A">
        <w:t>거래</w:t>
      </w:r>
      <w:r w:rsidR="0034490A">
        <w:rPr>
          <w:rFonts w:hint="eastAsia"/>
        </w:rPr>
        <w:t>와</w:t>
      </w:r>
      <w:r w:rsidRPr="00290146">
        <w:t xml:space="preserve"> </w:t>
      </w:r>
      <w:r w:rsidR="0034490A">
        <w:t>변동성</w:t>
      </w:r>
      <w:r w:rsidR="0034490A">
        <w:rPr>
          <w:rFonts w:hint="eastAsia"/>
        </w:rPr>
        <w:t xml:space="preserve"> 사이에</w:t>
      </w:r>
      <w:r w:rsidRPr="00290146">
        <w:t xml:space="preserve"> 음</w:t>
      </w:r>
      <w:r w:rsidR="0034490A">
        <w:rPr>
          <w:rFonts w:hint="eastAsia"/>
        </w:rPr>
        <w:t xml:space="preserve">의 관계가 </w:t>
      </w:r>
      <w:r w:rsidRPr="00290146">
        <w:t xml:space="preserve">있으며, 수정결정계수(adjusted R-squared)도 0.9074에서 0.9081로 소폭 상승하기는 하였으나 이 유의성은 </w:t>
      </w:r>
      <w:r w:rsidR="0034490A">
        <w:rPr>
          <w:rFonts w:hint="eastAsia"/>
        </w:rPr>
        <w:t xml:space="preserve">앞서 소개한 외국인기관투자자나 뒤에서 소개할 국내 투자회사에 비해 </w:t>
      </w:r>
      <w:r w:rsidRPr="00290146">
        <w:t xml:space="preserve">매우 낮은 수준이다. 또한 변동성을 </w:t>
      </w:r>
      <w:proofErr w:type="spellStart"/>
      <w:r w:rsidRPr="00290146">
        <w:t>차분값에</w:t>
      </w:r>
      <w:proofErr w:type="spellEnd"/>
      <w:r w:rsidRPr="00290146">
        <w:t xml:space="preserve"> 대한 분석인 모형 3에서는 그 유의성이 감소되었다. 증권회사의 거래강도가 미래 변동성 변화를 설명하는가를 분석하는 모형 4에서도 증권회사의 거래강도는 설명력을 가지지 못하는 것으로 나타났다. 마지막으로 모형 5에서도 변동성의 변화가 증권회사의 거래에 유의한 영향을 주지 못하는 것으로 나타났다. </w:t>
      </w:r>
    </w:p>
    <w:p w:rsidR="007E1778" w:rsidRPr="00290146" w:rsidRDefault="000E220E" w:rsidP="000E220E">
      <w:pPr>
        <w:spacing w:line="276" w:lineRule="auto"/>
        <w:ind w:firstLineChars="100" w:firstLine="200"/>
      </w:pPr>
      <w:r>
        <w:rPr>
          <w:rFonts w:hint="eastAsia"/>
        </w:rPr>
        <w:t xml:space="preserve">&lt;표 9: Panel A&gt;와 같이 </w:t>
      </w:r>
      <w:r>
        <w:t>증권회사에</w:t>
      </w:r>
      <w:r>
        <w:rPr>
          <w:rFonts w:hint="eastAsia"/>
        </w:rPr>
        <w:t xml:space="preserve"> 대한 Decile 분석을 수행한 경우에도 증권회사의 거래강도에 대한 전후 변동성 변화에서 두드러진 특성을 관찰할 수 없다. </w:t>
      </w:r>
      <w:r w:rsidR="007E1778" w:rsidRPr="00290146">
        <w:t xml:space="preserve">오직 증권회사의 매도강도가 강했던 </w:t>
      </w:r>
      <w:proofErr w:type="spellStart"/>
      <w:r w:rsidR="007E1778" w:rsidRPr="00290146">
        <w:t>decile</w:t>
      </w:r>
      <w:proofErr w:type="spellEnd"/>
      <w:r w:rsidR="007E1778" w:rsidRPr="00290146">
        <w:t xml:space="preserve"> 1과 </w:t>
      </w:r>
      <w:proofErr w:type="spellStart"/>
      <w:r w:rsidR="007E1778" w:rsidRPr="00290146">
        <w:t>decile</w:t>
      </w:r>
      <w:proofErr w:type="spellEnd"/>
      <w:r w:rsidR="007E1778" w:rsidRPr="00290146">
        <w:t xml:space="preserve"> 1&amp;2의 동시 시점에서만 10% 신뢰수준에서 유의한 변화가 관찰되었다. 이 때 </w:t>
      </w:r>
      <w:r>
        <w:rPr>
          <w:rFonts w:hint="eastAsia"/>
        </w:rPr>
        <w:t>&lt;</w:t>
      </w:r>
      <w:r w:rsidR="007E1778" w:rsidRPr="00290146">
        <w:t>표</w:t>
      </w:r>
      <w:r>
        <w:t xml:space="preserve"> </w:t>
      </w:r>
      <w:r>
        <w:rPr>
          <w:rFonts w:hint="eastAsia"/>
        </w:rPr>
        <w:t>8: Panel A&gt;</w:t>
      </w:r>
      <w:r>
        <w:t>의</w:t>
      </w:r>
      <w:r>
        <w:rPr>
          <w:rFonts w:hint="eastAsia"/>
        </w:rPr>
        <w:t xml:space="preserve"> </w:t>
      </w:r>
      <w:r w:rsidR="007E1778" w:rsidRPr="00290146">
        <w:t xml:space="preserve">모형 2 결과(음의 부호)에서 예상할 수 있듯이 매도가 강했을 경우에 </w:t>
      </w:r>
      <w:r>
        <w:t>변동성</w:t>
      </w:r>
      <w:r>
        <w:rPr>
          <w:rFonts w:hint="eastAsia"/>
        </w:rPr>
        <w:t>은</w:t>
      </w:r>
      <w:r w:rsidR="007E1778" w:rsidRPr="00290146">
        <w:t xml:space="preserve"> 상승하는 것</w:t>
      </w:r>
      <w:r>
        <w:rPr>
          <w:rFonts w:hint="eastAsia"/>
        </w:rPr>
        <w:t xml:space="preserve">으로 </w:t>
      </w:r>
      <w:r w:rsidR="007E1778" w:rsidRPr="00290146">
        <w:t xml:space="preserve">확인하였다. 이러한 비대칭성은 증권회사가 옵션시장에서 </w:t>
      </w:r>
      <w:r>
        <w:rPr>
          <w:rFonts w:hint="eastAsia"/>
        </w:rPr>
        <w:t>순</w:t>
      </w:r>
      <w:r w:rsidR="007E1778" w:rsidRPr="00290146">
        <w:t>매도포지션(</w:t>
      </w:r>
      <w:r>
        <w:rPr>
          <w:rFonts w:hint="eastAsia"/>
        </w:rPr>
        <w:t xml:space="preserve">naked </w:t>
      </w:r>
      <w:r w:rsidR="007E1778" w:rsidRPr="00290146">
        <w:t>short position)을 주로 취하는 거래자</w:t>
      </w:r>
      <w:r>
        <w:rPr>
          <w:rFonts w:hint="eastAsia"/>
        </w:rPr>
        <w:t xml:space="preserve">로 매도 시에만 고유한 특성이 관찰되는 것으로 해석된다. </w:t>
      </w:r>
      <w:r w:rsidR="007E1778" w:rsidRPr="00290146">
        <w:t xml:space="preserve">그러나 </w:t>
      </w:r>
      <w:r>
        <w:rPr>
          <w:rFonts w:hint="eastAsia"/>
        </w:rPr>
        <w:t xml:space="preserve">&lt;표 9: Panel A&gt;에서 보는 바와 같이 </w:t>
      </w:r>
      <w:r w:rsidR="007E1778" w:rsidRPr="00290146">
        <w:t xml:space="preserve">유의성은 신뢰수준 10%에서만 관찰되었으며, 매도가 강했던 </w:t>
      </w:r>
      <w:r>
        <w:rPr>
          <w:rFonts w:hint="eastAsia"/>
        </w:rPr>
        <w:t>시점</w:t>
      </w:r>
      <w:r w:rsidR="007E1778" w:rsidRPr="00290146">
        <w:t xml:space="preserve">의 전 후 변동성 누적변화를 보면 어떠한 유의한 패턴도 관찰되지 않았다. 더구나 본문에는 생략되어 있지만, 거래량효과와 실현변동성 효과를 감안한 </w:t>
      </w:r>
      <w:proofErr w:type="spellStart"/>
      <w:r w:rsidR="007E1778" w:rsidRPr="00290146">
        <w:t>강건성</w:t>
      </w:r>
      <w:proofErr w:type="spellEnd"/>
      <w:r w:rsidR="007E1778" w:rsidRPr="00290146">
        <w:t xml:space="preserve"> 검증을 수행할 때, 증권회사의 영향력은 사라지는 것으로 나타났다. </w:t>
      </w:r>
    </w:p>
    <w:p w:rsidR="007E1778" w:rsidRPr="007E1778" w:rsidRDefault="007E1778" w:rsidP="00CF6042">
      <w:pPr>
        <w:spacing w:line="276" w:lineRule="auto"/>
      </w:pPr>
    </w:p>
    <w:p w:rsidR="00290146" w:rsidRPr="00290146" w:rsidRDefault="00290146" w:rsidP="00CF6042">
      <w:pPr>
        <w:spacing w:line="276" w:lineRule="auto"/>
      </w:pPr>
    </w:p>
    <w:p w:rsidR="00392C84" w:rsidRDefault="00392C84" w:rsidP="00392C84">
      <w:pPr>
        <w:jc w:val="center"/>
        <w:rPr>
          <w:b/>
        </w:rPr>
      </w:pPr>
      <w:r>
        <w:rPr>
          <w:rFonts w:hint="eastAsia"/>
          <w:b/>
        </w:rPr>
        <w:t>&lt;</w:t>
      </w:r>
      <w:r w:rsidRPr="00392C84">
        <w:rPr>
          <w:b/>
        </w:rPr>
        <w:t>표</w:t>
      </w:r>
      <w:r w:rsidR="00354604">
        <w:rPr>
          <w:b/>
        </w:rPr>
        <w:t xml:space="preserve"> </w:t>
      </w:r>
      <w:r w:rsidR="00354604">
        <w:rPr>
          <w:rFonts w:hint="eastAsia"/>
          <w:b/>
        </w:rPr>
        <w:t>8</w:t>
      </w:r>
      <w:r>
        <w:rPr>
          <w:rFonts w:hint="eastAsia"/>
          <w:b/>
        </w:rPr>
        <w:t>&gt;</w:t>
      </w:r>
      <w:r w:rsidRPr="00392C84">
        <w:rPr>
          <w:b/>
        </w:rPr>
        <w:t xml:space="preserve"> 증권회사</w:t>
      </w:r>
      <w:r w:rsidR="009B56D6">
        <w:rPr>
          <w:rFonts w:hint="eastAsia"/>
          <w:b/>
        </w:rPr>
        <w:t xml:space="preserve"> 및 투자회사</w:t>
      </w:r>
      <w:r w:rsidRPr="00392C84">
        <w:rPr>
          <w:b/>
        </w:rPr>
        <w:t>의 거래강도와 내재변동성의 변화</w:t>
      </w:r>
    </w:p>
    <w:p w:rsidR="00392C84" w:rsidRDefault="00392C84" w:rsidP="00392C84">
      <w:r w:rsidRPr="00392C84">
        <w:t xml:space="preserve">이 표는 모형 2-5의 결과를 보여준다. 각 모형은 식 (2)-(5)에 나타나 있다. 모형 2는 추가적으로 투자자 그룹의 거래강도가 포함된다. 모형 3은 투자자그룹 거래강도가 내재변동성의 </w:t>
      </w:r>
      <w:proofErr w:type="spellStart"/>
      <w:r w:rsidRPr="00392C84">
        <w:t>차분값에</w:t>
      </w:r>
      <w:proofErr w:type="spellEnd"/>
      <w:r w:rsidRPr="00392C84">
        <w:t xml:space="preserve"> 미치는 영향을 검증하며, 모형 4는 거래강도가 미래변동성에 미치는 영향을 검증한다. 마지막으로 모형 5는 내재변동성 변화가 거래강도에 미치는 영향을 분석한다. 괄호 안의 값은 이분산성과 자</w:t>
      </w:r>
      <w:r w:rsidRPr="00392C84">
        <w:lastRenderedPageBreak/>
        <w:t xml:space="preserve">기상관성을 고려한, </w:t>
      </w:r>
      <w:proofErr w:type="spellStart"/>
      <w:r w:rsidRPr="00392C84">
        <w:t>Newey</w:t>
      </w:r>
      <w:proofErr w:type="spellEnd"/>
      <w:r w:rsidRPr="00392C84">
        <w:t xml:space="preserve">-West HAC </w:t>
      </w:r>
      <w:proofErr w:type="spellStart"/>
      <w:r w:rsidRPr="00392C84">
        <w:t>공분산</w:t>
      </w:r>
      <w:proofErr w:type="spellEnd"/>
      <w:r w:rsidRPr="00392C84">
        <w:t xml:space="preserve"> 방법을 사용하여 계산된 t-통계량이다. *, **, *** 는 각각 10%, 5%, 1%의 신뢰수준 유의성을 나타낸다.</w:t>
      </w:r>
    </w:p>
    <w:p w:rsidR="009B56D6" w:rsidRPr="009B56D6" w:rsidRDefault="009B56D6" w:rsidP="00392C84">
      <w:pPr>
        <w:rPr>
          <w:sz w:val="10"/>
        </w:rPr>
      </w:pPr>
    </w:p>
    <w:p w:rsidR="009B56D6" w:rsidRPr="009B56D6" w:rsidRDefault="009B56D6" w:rsidP="00392C84">
      <w:pPr>
        <w:rPr>
          <w:b/>
        </w:rPr>
      </w:pPr>
      <w:r w:rsidRPr="009B56D6">
        <w:rPr>
          <w:rFonts w:hint="eastAsia"/>
          <w:b/>
        </w:rPr>
        <w:t>Panel A: 증권회사의 거래강도와 내재변동성 변화</w:t>
      </w:r>
    </w:p>
    <w:tbl>
      <w:tblPr>
        <w:tblStyle w:val="ac"/>
        <w:tblW w:w="5000" w:type="pct"/>
        <w:tblBorders>
          <w:left w:val="none" w:sz="0" w:space="0" w:color="auto"/>
          <w:right w:val="none" w:sz="0" w:space="0" w:color="auto"/>
          <w:insideH w:val="none" w:sz="0" w:space="0" w:color="auto"/>
          <w:insideV w:val="none" w:sz="0" w:space="0" w:color="auto"/>
        </w:tblBorders>
        <w:tblLook w:val="04A0"/>
      </w:tblPr>
      <w:tblGrid>
        <w:gridCol w:w="1254"/>
        <w:gridCol w:w="1588"/>
        <w:gridCol w:w="1699"/>
        <w:gridCol w:w="1684"/>
        <w:gridCol w:w="1431"/>
        <w:gridCol w:w="1586"/>
      </w:tblGrid>
      <w:tr w:rsidR="00392C84" w:rsidRPr="00392C84" w:rsidTr="00392C84">
        <w:tc>
          <w:tcPr>
            <w:tcW w:w="679" w:type="pct"/>
            <w:tcBorders>
              <w:top w:val="single" w:sz="4" w:space="0" w:color="auto"/>
              <w:bottom w:val="single" w:sz="4" w:space="0" w:color="auto"/>
            </w:tcBorders>
            <w:vAlign w:val="center"/>
          </w:tcPr>
          <w:p w:rsidR="00392C84" w:rsidRPr="00392C84" w:rsidRDefault="00392C84" w:rsidP="00392C84"/>
        </w:tc>
        <w:tc>
          <w:tcPr>
            <w:tcW w:w="859" w:type="pct"/>
            <w:tcBorders>
              <w:top w:val="single" w:sz="4" w:space="0" w:color="auto"/>
              <w:bottom w:val="single" w:sz="4" w:space="0" w:color="auto"/>
            </w:tcBorders>
            <w:vAlign w:val="center"/>
          </w:tcPr>
          <w:p w:rsidR="00392C84" w:rsidRPr="00392C84" w:rsidRDefault="00392C84" w:rsidP="00392C84">
            <w:r w:rsidRPr="00392C84">
              <w:t>Constant</w:t>
            </w:r>
          </w:p>
        </w:tc>
        <w:tc>
          <w:tcPr>
            <w:tcW w:w="919" w:type="pct"/>
            <w:tcBorders>
              <w:top w:val="single" w:sz="4" w:space="0" w:color="auto"/>
              <w:bottom w:val="single" w:sz="4" w:space="0" w:color="auto"/>
            </w:tcBorders>
            <w:vAlign w:val="center"/>
          </w:tcPr>
          <w:p w:rsidR="00392C84" w:rsidRPr="00392C84" w:rsidRDefault="005654BA" w:rsidP="00392C84">
            <m:oMathPara>
              <m:oMath>
                <m:sSub>
                  <m:sSubPr>
                    <m:ctrlPr>
                      <w:rPr>
                        <w:rFonts w:ascii="Cambria Math" w:hAnsi="Cambria Math"/>
                      </w:rPr>
                    </m:ctrlPr>
                  </m:sSubPr>
                  <m:e>
                    <m:r>
                      <m:rPr>
                        <m:sty m:val="p"/>
                      </m:rPr>
                      <w:rPr>
                        <w:rFonts w:ascii="Cambria Math" w:hAnsi="Cambria Math"/>
                      </w:rPr>
                      <m:t>IV</m:t>
                    </m:r>
                  </m:e>
                  <m:sub>
                    <m:d>
                      <m:dPr>
                        <m:begChr m:val="{"/>
                        <m:endChr m:val="}"/>
                        <m:ctrlPr>
                          <w:rPr>
                            <w:rFonts w:ascii="Cambria Math" w:hAnsi="Cambria Math"/>
                          </w:rPr>
                        </m:ctrlPr>
                      </m:dPr>
                      <m:e>
                        <m:r>
                          <m:rPr>
                            <m:sty m:val="p"/>
                          </m:rPr>
                          <w:rPr>
                            <w:rFonts w:ascii="Cambria Math" w:hAnsi="Cambria Math"/>
                          </w:rPr>
                          <m:t>t-1</m:t>
                        </m:r>
                      </m:e>
                    </m:d>
                  </m:sub>
                </m:sSub>
                <m:r>
                  <w:rPr>
                    <w:rFonts w:ascii="Cambria Math" w:hAnsi="Cambria Math"/>
                  </w:rPr>
                  <m:t xml:space="preserve"> or </m:t>
                </m:r>
                <m:r>
                  <m:rPr>
                    <m:sty m:val="p"/>
                  </m:rPr>
                  <w:rPr>
                    <w:rFonts w:ascii="Cambria Math" w:hAnsi="Cambria Math"/>
                  </w:rPr>
                  <m:t>Δ</m:t>
                </m:r>
                <m:r>
                  <w:rPr>
                    <w:rFonts w:ascii="Cambria Math" w:hAnsi="Cambria Math"/>
                  </w:rPr>
                  <m:t>I</m:t>
                </m:r>
                <m:sSub>
                  <m:sSubPr>
                    <m:ctrlPr>
                      <w:rPr>
                        <w:rFonts w:ascii="Cambria Math" w:hAnsi="Cambria Math"/>
                        <w:i/>
                      </w:rPr>
                    </m:ctrlPr>
                  </m:sSubPr>
                  <m:e>
                    <m:r>
                      <w:rPr>
                        <w:rFonts w:ascii="Cambria Math" w:hAnsi="Cambria Math"/>
                      </w:rPr>
                      <m:t>V</m:t>
                    </m:r>
                  </m:e>
                  <m:sub>
                    <m:d>
                      <m:dPr>
                        <m:begChr m:val="{"/>
                        <m:endChr m:val="}"/>
                        <m:ctrlPr>
                          <w:rPr>
                            <w:rFonts w:ascii="Cambria Math" w:hAnsi="Cambria Math"/>
                            <w:i/>
                          </w:rPr>
                        </m:ctrlPr>
                      </m:dPr>
                      <m:e>
                        <m:r>
                          <w:rPr>
                            <w:rFonts w:ascii="Cambria Math" w:hAnsi="Cambria Math"/>
                          </w:rPr>
                          <m:t>t-1</m:t>
                        </m:r>
                      </m:e>
                    </m:d>
                  </m:sub>
                </m:sSub>
              </m:oMath>
            </m:oMathPara>
          </w:p>
        </w:tc>
        <w:tc>
          <w:tcPr>
            <w:tcW w:w="911" w:type="pct"/>
            <w:tcBorders>
              <w:top w:val="single" w:sz="4" w:space="0" w:color="auto"/>
              <w:bottom w:val="single" w:sz="4" w:space="0" w:color="auto"/>
            </w:tcBorders>
            <w:vAlign w:val="center"/>
          </w:tcPr>
          <w:p w:rsidR="00392C84" w:rsidRPr="00392C84" w:rsidRDefault="00392C84" w:rsidP="00392C84">
            <w:r w:rsidRPr="00392C84">
              <w:t>Securities company(t)</w:t>
            </w:r>
          </w:p>
        </w:tc>
        <w:tc>
          <w:tcPr>
            <w:tcW w:w="774" w:type="pct"/>
            <w:tcBorders>
              <w:top w:val="single" w:sz="4" w:space="0" w:color="auto"/>
              <w:bottom w:val="single" w:sz="4" w:space="0" w:color="auto"/>
            </w:tcBorders>
            <w:vAlign w:val="center"/>
          </w:tcPr>
          <w:p w:rsidR="00392C84" w:rsidRPr="00392C84" w:rsidRDefault="00392C84" w:rsidP="00392C84">
            <w:r w:rsidRPr="00392C84">
              <w:t>R-squared</w:t>
            </w:r>
          </w:p>
        </w:tc>
        <w:tc>
          <w:tcPr>
            <w:tcW w:w="859" w:type="pct"/>
            <w:tcBorders>
              <w:top w:val="single" w:sz="4" w:space="0" w:color="auto"/>
              <w:bottom w:val="single" w:sz="4" w:space="0" w:color="auto"/>
            </w:tcBorders>
            <w:vAlign w:val="center"/>
          </w:tcPr>
          <w:p w:rsidR="00392C84" w:rsidRPr="00392C84" w:rsidRDefault="00392C84" w:rsidP="00392C84">
            <w:r w:rsidRPr="00392C84">
              <w:t>Adj. R-squared</w:t>
            </w:r>
          </w:p>
        </w:tc>
      </w:tr>
      <w:tr w:rsidR="00392C84" w:rsidRPr="00392C84" w:rsidTr="00392C84">
        <w:trPr>
          <w:trHeight w:val="702"/>
        </w:trPr>
        <w:tc>
          <w:tcPr>
            <w:tcW w:w="679" w:type="pct"/>
            <w:vAlign w:val="center"/>
          </w:tcPr>
          <w:p w:rsidR="00392C84" w:rsidRPr="00392C84" w:rsidRDefault="00392C84" w:rsidP="00392C84">
            <w:r w:rsidRPr="00392C84">
              <w:t>Model 2</w:t>
            </w:r>
          </w:p>
        </w:tc>
        <w:tc>
          <w:tcPr>
            <w:tcW w:w="859" w:type="pct"/>
            <w:vAlign w:val="center"/>
          </w:tcPr>
          <w:p w:rsidR="00392C84" w:rsidRPr="00392C84" w:rsidRDefault="00392C84" w:rsidP="00392C84">
            <w:r w:rsidRPr="00392C84">
              <w:t xml:space="preserve">0.9247 </w:t>
            </w:r>
          </w:p>
          <w:p w:rsidR="00392C84" w:rsidRPr="00392C84" w:rsidRDefault="00392C84" w:rsidP="00392C84">
            <w:r w:rsidRPr="00392C84">
              <w:t>(1.53)</w:t>
            </w:r>
          </w:p>
        </w:tc>
        <w:tc>
          <w:tcPr>
            <w:tcW w:w="919" w:type="pct"/>
            <w:vAlign w:val="center"/>
          </w:tcPr>
          <w:p w:rsidR="00392C84" w:rsidRPr="00392C84" w:rsidRDefault="00392C84" w:rsidP="00392C84">
            <w:r w:rsidRPr="00392C84">
              <w:t xml:space="preserve">0.9507 </w:t>
            </w:r>
          </w:p>
          <w:p w:rsidR="00392C84" w:rsidRPr="00392C84" w:rsidRDefault="00392C84" w:rsidP="00392C84">
            <w:r w:rsidRPr="00392C84">
              <w:t>(35.00)***</w:t>
            </w:r>
          </w:p>
        </w:tc>
        <w:tc>
          <w:tcPr>
            <w:tcW w:w="911" w:type="pct"/>
            <w:vAlign w:val="center"/>
          </w:tcPr>
          <w:p w:rsidR="00392C84" w:rsidRPr="00392C84" w:rsidRDefault="00392C84" w:rsidP="00392C84">
            <w:r w:rsidRPr="00392C84">
              <w:t>-7.99E-07</w:t>
            </w:r>
          </w:p>
          <w:p w:rsidR="00392C84" w:rsidRPr="00392C84" w:rsidRDefault="00392C84" w:rsidP="00392C84">
            <w:r w:rsidRPr="00392C84">
              <w:t>(-1.67)*</w:t>
            </w:r>
          </w:p>
        </w:tc>
        <w:tc>
          <w:tcPr>
            <w:tcW w:w="774" w:type="pct"/>
            <w:vAlign w:val="center"/>
          </w:tcPr>
          <w:p w:rsidR="00392C84" w:rsidRPr="00392C84" w:rsidRDefault="00392C84" w:rsidP="00392C84">
            <w:r w:rsidRPr="00392C84">
              <w:t>0.9085</w:t>
            </w:r>
          </w:p>
        </w:tc>
        <w:tc>
          <w:tcPr>
            <w:tcW w:w="859" w:type="pct"/>
            <w:vAlign w:val="center"/>
          </w:tcPr>
          <w:p w:rsidR="00392C84" w:rsidRPr="00392C84" w:rsidRDefault="00392C84" w:rsidP="00392C84">
            <w:r w:rsidRPr="00392C84">
              <w:t>0.9081</w:t>
            </w:r>
          </w:p>
        </w:tc>
      </w:tr>
      <w:tr w:rsidR="00392C84" w:rsidRPr="00392C84" w:rsidTr="00392C84">
        <w:trPr>
          <w:trHeight w:val="702"/>
        </w:trPr>
        <w:tc>
          <w:tcPr>
            <w:tcW w:w="679" w:type="pct"/>
            <w:vAlign w:val="center"/>
          </w:tcPr>
          <w:p w:rsidR="00392C84" w:rsidRPr="00392C84" w:rsidRDefault="00392C84" w:rsidP="00392C84">
            <w:r w:rsidRPr="00392C84">
              <w:t>Model 3</w:t>
            </w:r>
          </w:p>
        </w:tc>
        <w:tc>
          <w:tcPr>
            <w:tcW w:w="859" w:type="pct"/>
            <w:vAlign w:val="center"/>
          </w:tcPr>
          <w:p w:rsidR="00392C84" w:rsidRPr="00392C84" w:rsidRDefault="00392C84" w:rsidP="00392C84">
            <w:r w:rsidRPr="00392C84">
              <w:t xml:space="preserve">-0.2700 </w:t>
            </w:r>
          </w:p>
          <w:p w:rsidR="00392C84" w:rsidRPr="00392C84" w:rsidRDefault="00392C84" w:rsidP="00392C84">
            <w:r w:rsidRPr="00392C84">
              <w:t>(-1.22)</w:t>
            </w:r>
          </w:p>
        </w:tc>
        <w:tc>
          <w:tcPr>
            <w:tcW w:w="919" w:type="pct"/>
            <w:vAlign w:val="center"/>
          </w:tcPr>
          <w:p w:rsidR="00392C84" w:rsidRPr="00392C84" w:rsidRDefault="00392C84" w:rsidP="00392C84">
            <w:r w:rsidRPr="00392C84">
              <w:t xml:space="preserve">-0.0640 </w:t>
            </w:r>
          </w:p>
          <w:p w:rsidR="00392C84" w:rsidRPr="00392C84" w:rsidRDefault="00392C84" w:rsidP="00392C84">
            <w:r w:rsidRPr="00392C84">
              <w:t>(-0.9)</w:t>
            </w:r>
          </w:p>
        </w:tc>
        <w:tc>
          <w:tcPr>
            <w:tcW w:w="911" w:type="pct"/>
            <w:vAlign w:val="center"/>
          </w:tcPr>
          <w:p w:rsidR="00392C84" w:rsidRPr="00392C84" w:rsidRDefault="00392C84" w:rsidP="00392C84">
            <w:r w:rsidRPr="00392C84">
              <w:t>-6.93E-07</w:t>
            </w:r>
          </w:p>
          <w:p w:rsidR="00392C84" w:rsidRPr="00392C84" w:rsidRDefault="00392C84" w:rsidP="00392C84">
            <w:r w:rsidRPr="00392C84">
              <w:t>(-1.52)</w:t>
            </w:r>
          </w:p>
        </w:tc>
        <w:tc>
          <w:tcPr>
            <w:tcW w:w="774" w:type="pct"/>
            <w:vAlign w:val="center"/>
          </w:tcPr>
          <w:p w:rsidR="00392C84" w:rsidRPr="00392C84" w:rsidRDefault="00392C84" w:rsidP="00392C84">
            <w:r w:rsidRPr="00392C84">
              <w:t>0.0116</w:t>
            </w:r>
          </w:p>
        </w:tc>
        <w:tc>
          <w:tcPr>
            <w:tcW w:w="859" w:type="pct"/>
            <w:vAlign w:val="center"/>
          </w:tcPr>
          <w:p w:rsidR="00392C84" w:rsidRPr="00392C84" w:rsidRDefault="00392C84" w:rsidP="00392C84">
            <w:r w:rsidRPr="00392C84">
              <w:t>0.0066</w:t>
            </w:r>
          </w:p>
        </w:tc>
      </w:tr>
      <w:tr w:rsidR="00392C84" w:rsidRPr="00392C84" w:rsidTr="00392C84">
        <w:trPr>
          <w:trHeight w:val="702"/>
        </w:trPr>
        <w:tc>
          <w:tcPr>
            <w:tcW w:w="679" w:type="pct"/>
            <w:vAlign w:val="center"/>
          </w:tcPr>
          <w:p w:rsidR="00392C84" w:rsidRPr="00392C84" w:rsidRDefault="00392C84" w:rsidP="00392C84">
            <w:r w:rsidRPr="00392C84">
              <w:t>Model 4</w:t>
            </w:r>
          </w:p>
        </w:tc>
        <w:tc>
          <w:tcPr>
            <w:tcW w:w="859" w:type="pct"/>
            <w:vAlign w:val="center"/>
          </w:tcPr>
          <w:p w:rsidR="00392C84" w:rsidRPr="00392C84" w:rsidRDefault="00392C84" w:rsidP="00392C84">
            <w:r w:rsidRPr="00392C84">
              <w:t xml:space="preserve">1.2766 </w:t>
            </w:r>
          </w:p>
          <w:p w:rsidR="00392C84" w:rsidRPr="00392C84" w:rsidRDefault="00392C84" w:rsidP="00392C84">
            <w:r w:rsidRPr="00392C84">
              <w:t>(2.01)**</w:t>
            </w:r>
          </w:p>
        </w:tc>
        <w:tc>
          <w:tcPr>
            <w:tcW w:w="919" w:type="pct"/>
            <w:vAlign w:val="center"/>
          </w:tcPr>
          <w:p w:rsidR="00392C84" w:rsidRPr="00392C84" w:rsidRDefault="00392C84" w:rsidP="00392C84">
            <w:r w:rsidRPr="00392C84">
              <w:t xml:space="preserve">0.9532 </w:t>
            </w:r>
          </w:p>
          <w:p w:rsidR="00392C84" w:rsidRPr="00392C84" w:rsidRDefault="00392C84" w:rsidP="00392C84">
            <w:r w:rsidRPr="00392C84">
              <w:t>(34.85)***</w:t>
            </w:r>
          </w:p>
        </w:tc>
        <w:tc>
          <w:tcPr>
            <w:tcW w:w="911" w:type="pct"/>
            <w:vAlign w:val="center"/>
          </w:tcPr>
          <w:p w:rsidR="00392C84" w:rsidRPr="00392C84" w:rsidRDefault="00392C84" w:rsidP="00392C84">
            <w:r w:rsidRPr="00392C84">
              <w:t>2.041E-07</w:t>
            </w:r>
          </w:p>
          <w:p w:rsidR="00392C84" w:rsidRPr="00392C84" w:rsidRDefault="00392C84" w:rsidP="00392C84">
            <w:r w:rsidRPr="00392C84">
              <w:t>(0.48)</w:t>
            </w:r>
          </w:p>
        </w:tc>
        <w:tc>
          <w:tcPr>
            <w:tcW w:w="774" w:type="pct"/>
            <w:vAlign w:val="center"/>
          </w:tcPr>
          <w:p w:rsidR="00392C84" w:rsidRPr="00392C84" w:rsidRDefault="00392C84" w:rsidP="00392C84">
            <w:r w:rsidRPr="00392C84">
              <w:t>0.9077</w:t>
            </w:r>
          </w:p>
        </w:tc>
        <w:tc>
          <w:tcPr>
            <w:tcW w:w="859" w:type="pct"/>
            <w:vAlign w:val="center"/>
          </w:tcPr>
          <w:p w:rsidR="00392C84" w:rsidRPr="00392C84" w:rsidRDefault="00392C84" w:rsidP="00392C84">
            <w:r w:rsidRPr="00392C84">
              <w:t>0.9072</w:t>
            </w:r>
          </w:p>
        </w:tc>
      </w:tr>
      <w:tr w:rsidR="00392C84" w:rsidRPr="00392C84" w:rsidTr="00392C84">
        <w:trPr>
          <w:trHeight w:val="74"/>
        </w:trPr>
        <w:tc>
          <w:tcPr>
            <w:tcW w:w="679" w:type="pct"/>
            <w:vAlign w:val="center"/>
          </w:tcPr>
          <w:p w:rsidR="00392C84" w:rsidRPr="00392C84" w:rsidRDefault="00392C84" w:rsidP="00392C84">
            <w:r w:rsidRPr="00392C84">
              <w:t>Model 5</w:t>
            </w:r>
          </w:p>
        </w:tc>
        <w:tc>
          <w:tcPr>
            <w:tcW w:w="859" w:type="pct"/>
            <w:vAlign w:val="center"/>
          </w:tcPr>
          <w:p w:rsidR="00392C84" w:rsidRPr="00392C84" w:rsidRDefault="00392C84" w:rsidP="00392C84">
            <w:r w:rsidRPr="00392C84">
              <w:t>-388888</w:t>
            </w:r>
          </w:p>
          <w:p w:rsidR="00392C84" w:rsidRPr="00392C84" w:rsidRDefault="00392C84" w:rsidP="00392C84">
            <w:r w:rsidRPr="00392C84">
              <w:t>(-8.00)***</w:t>
            </w:r>
          </w:p>
        </w:tc>
        <w:tc>
          <w:tcPr>
            <w:tcW w:w="919" w:type="pct"/>
            <w:vAlign w:val="center"/>
          </w:tcPr>
          <w:p w:rsidR="00392C84" w:rsidRPr="00392C84" w:rsidRDefault="00392C84" w:rsidP="00392C84">
            <w:r w:rsidRPr="00392C84">
              <w:t>-2568.29</w:t>
            </w:r>
          </w:p>
          <w:p w:rsidR="00392C84" w:rsidRPr="00392C84" w:rsidRDefault="00392C84" w:rsidP="00392C84">
            <w:r w:rsidRPr="00392C84">
              <w:t>(-1.13)</w:t>
            </w:r>
          </w:p>
        </w:tc>
        <w:tc>
          <w:tcPr>
            <w:tcW w:w="911" w:type="pct"/>
            <w:vAlign w:val="center"/>
          </w:tcPr>
          <w:p w:rsidR="00392C84" w:rsidRPr="00392C84" w:rsidRDefault="00392C84" w:rsidP="00392C84">
            <w:r w:rsidRPr="00392C84">
              <w:t xml:space="preserve">-0.1006 </w:t>
            </w:r>
          </w:p>
          <w:p w:rsidR="00392C84" w:rsidRPr="00392C84" w:rsidRDefault="00392C84" w:rsidP="00392C84">
            <w:r w:rsidRPr="00392C84">
              <w:t>(-2.99)***</w:t>
            </w:r>
          </w:p>
        </w:tc>
        <w:tc>
          <w:tcPr>
            <w:tcW w:w="774" w:type="pct"/>
            <w:vAlign w:val="center"/>
          </w:tcPr>
          <w:p w:rsidR="00392C84" w:rsidRPr="00392C84" w:rsidRDefault="00392C84" w:rsidP="00392C84">
            <w:r w:rsidRPr="00392C84">
              <w:t xml:space="preserve">0.0137　</w:t>
            </w:r>
          </w:p>
        </w:tc>
        <w:tc>
          <w:tcPr>
            <w:tcW w:w="859" w:type="pct"/>
            <w:vAlign w:val="center"/>
          </w:tcPr>
          <w:p w:rsidR="00392C84" w:rsidRPr="00392C84" w:rsidRDefault="00392C84" w:rsidP="00392C84">
            <w:r w:rsidRPr="00392C84">
              <w:t xml:space="preserve">0.0087　</w:t>
            </w:r>
          </w:p>
        </w:tc>
      </w:tr>
    </w:tbl>
    <w:p w:rsidR="00392C84" w:rsidRPr="009B56D6" w:rsidRDefault="00392C84" w:rsidP="00392C84">
      <w:pPr>
        <w:rPr>
          <w:sz w:val="10"/>
        </w:rPr>
      </w:pPr>
    </w:p>
    <w:p w:rsidR="00392C84" w:rsidRPr="009B56D6" w:rsidRDefault="009B56D6">
      <w:pPr>
        <w:rPr>
          <w:b/>
        </w:rPr>
      </w:pPr>
      <w:r w:rsidRPr="009B56D6">
        <w:rPr>
          <w:rFonts w:hint="eastAsia"/>
          <w:b/>
        </w:rPr>
        <w:t xml:space="preserve">Panel B: </w:t>
      </w:r>
      <w:r w:rsidRPr="009B56D6">
        <w:rPr>
          <w:b/>
        </w:rPr>
        <w:t>투자회사의</w:t>
      </w:r>
      <w:r w:rsidRPr="009B56D6">
        <w:rPr>
          <w:rFonts w:hint="eastAsia"/>
          <w:b/>
        </w:rPr>
        <w:t xml:space="preserve"> 거래강도와 내재변동성 변화</w:t>
      </w:r>
    </w:p>
    <w:tbl>
      <w:tblPr>
        <w:tblStyle w:val="ac"/>
        <w:tblW w:w="5000" w:type="pct"/>
        <w:tblBorders>
          <w:left w:val="none" w:sz="0" w:space="0" w:color="auto"/>
          <w:right w:val="none" w:sz="0" w:space="0" w:color="auto"/>
          <w:insideH w:val="none" w:sz="0" w:space="0" w:color="auto"/>
          <w:insideV w:val="none" w:sz="0" w:space="0" w:color="auto"/>
        </w:tblBorders>
        <w:tblLook w:val="04A0"/>
      </w:tblPr>
      <w:tblGrid>
        <w:gridCol w:w="1254"/>
        <w:gridCol w:w="1588"/>
        <w:gridCol w:w="1699"/>
        <w:gridCol w:w="1684"/>
        <w:gridCol w:w="1431"/>
        <w:gridCol w:w="1586"/>
      </w:tblGrid>
      <w:tr w:rsidR="00392C84" w:rsidRPr="00392C84" w:rsidTr="00392C84">
        <w:tc>
          <w:tcPr>
            <w:tcW w:w="678" w:type="pct"/>
            <w:tcBorders>
              <w:top w:val="single" w:sz="4" w:space="0" w:color="auto"/>
              <w:bottom w:val="single" w:sz="4" w:space="0" w:color="auto"/>
            </w:tcBorders>
            <w:vAlign w:val="center"/>
          </w:tcPr>
          <w:p w:rsidR="00392C84" w:rsidRPr="00392C84" w:rsidRDefault="00392C84" w:rsidP="00392C84"/>
        </w:tc>
        <w:tc>
          <w:tcPr>
            <w:tcW w:w="859" w:type="pct"/>
            <w:tcBorders>
              <w:top w:val="single" w:sz="4" w:space="0" w:color="auto"/>
              <w:bottom w:val="single" w:sz="4" w:space="0" w:color="auto"/>
            </w:tcBorders>
            <w:vAlign w:val="center"/>
          </w:tcPr>
          <w:p w:rsidR="00392C84" w:rsidRPr="00392C84" w:rsidRDefault="00392C84" w:rsidP="00392C84">
            <w:r w:rsidRPr="00392C84">
              <w:t>Constant</w:t>
            </w:r>
          </w:p>
        </w:tc>
        <w:tc>
          <w:tcPr>
            <w:tcW w:w="919" w:type="pct"/>
            <w:tcBorders>
              <w:top w:val="single" w:sz="4" w:space="0" w:color="auto"/>
              <w:bottom w:val="single" w:sz="4" w:space="0" w:color="auto"/>
            </w:tcBorders>
            <w:vAlign w:val="center"/>
          </w:tcPr>
          <w:p w:rsidR="00392C84" w:rsidRPr="00392C84" w:rsidRDefault="005654BA" w:rsidP="00392C84">
            <m:oMathPara>
              <m:oMath>
                <m:sSub>
                  <m:sSubPr>
                    <m:ctrlPr>
                      <w:rPr>
                        <w:rFonts w:ascii="Cambria Math" w:hAnsi="Cambria Math"/>
                      </w:rPr>
                    </m:ctrlPr>
                  </m:sSubPr>
                  <m:e>
                    <m:r>
                      <m:rPr>
                        <m:sty m:val="p"/>
                      </m:rPr>
                      <w:rPr>
                        <w:rFonts w:ascii="Cambria Math" w:hAnsi="Cambria Math"/>
                      </w:rPr>
                      <m:t>IV</m:t>
                    </m:r>
                  </m:e>
                  <m:sub>
                    <m:d>
                      <m:dPr>
                        <m:begChr m:val="{"/>
                        <m:endChr m:val="}"/>
                        <m:ctrlPr>
                          <w:rPr>
                            <w:rFonts w:ascii="Cambria Math" w:hAnsi="Cambria Math"/>
                          </w:rPr>
                        </m:ctrlPr>
                      </m:dPr>
                      <m:e>
                        <m:r>
                          <m:rPr>
                            <m:sty m:val="p"/>
                          </m:rPr>
                          <w:rPr>
                            <w:rFonts w:ascii="Cambria Math" w:hAnsi="Cambria Math"/>
                          </w:rPr>
                          <m:t>t-1</m:t>
                        </m:r>
                      </m:e>
                    </m:d>
                  </m:sub>
                </m:sSub>
                <m:r>
                  <w:rPr>
                    <w:rFonts w:ascii="Cambria Math" w:hAnsi="Cambria Math"/>
                  </w:rPr>
                  <m:t xml:space="preserve"> or </m:t>
                </m:r>
                <m:r>
                  <m:rPr>
                    <m:sty m:val="p"/>
                  </m:rPr>
                  <w:rPr>
                    <w:rFonts w:ascii="Cambria Math" w:hAnsi="Cambria Math"/>
                  </w:rPr>
                  <m:t>Δ</m:t>
                </m:r>
                <m:r>
                  <w:rPr>
                    <w:rFonts w:ascii="Cambria Math" w:hAnsi="Cambria Math"/>
                  </w:rPr>
                  <m:t>I</m:t>
                </m:r>
                <m:sSub>
                  <m:sSubPr>
                    <m:ctrlPr>
                      <w:rPr>
                        <w:rFonts w:ascii="Cambria Math" w:hAnsi="Cambria Math"/>
                        <w:i/>
                      </w:rPr>
                    </m:ctrlPr>
                  </m:sSubPr>
                  <m:e>
                    <m:r>
                      <w:rPr>
                        <w:rFonts w:ascii="Cambria Math" w:hAnsi="Cambria Math"/>
                      </w:rPr>
                      <m:t>V</m:t>
                    </m:r>
                  </m:e>
                  <m:sub>
                    <m:d>
                      <m:dPr>
                        <m:begChr m:val="{"/>
                        <m:endChr m:val="}"/>
                        <m:ctrlPr>
                          <w:rPr>
                            <w:rFonts w:ascii="Cambria Math" w:hAnsi="Cambria Math"/>
                            <w:i/>
                          </w:rPr>
                        </m:ctrlPr>
                      </m:dPr>
                      <m:e>
                        <m:r>
                          <w:rPr>
                            <w:rFonts w:ascii="Cambria Math" w:hAnsi="Cambria Math"/>
                          </w:rPr>
                          <m:t>t-1</m:t>
                        </m:r>
                      </m:e>
                    </m:d>
                  </m:sub>
                </m:sSub>
              </m:oMath>
            </m:oMathPara>
          </w:p>
        </w:tc>
        <w:tc>
          <w:tcPr>
            <w:tcW w:w="911" w:type="pct"/>
            <w:tcBorders>
              <w:top w:val="single" w:sz="4" w:space="0" w:color="auto"/>
              <w:bottom w:val="single" w:sz="4" w:space="0" w:color="auto"/>
            </w:tcBorders>
            <w:vAlign w:val="center"/>
          </w:tcPr>
          <w:p w:rsidR="00392C84" w:rsidRPr="00392C84" w:rsidRDefault="00392C84" w:rsidP="00392C84">
            <w:r w:rsidRPr="00392C84">
              <w:t>Investment company(t)</w:t>
            </w:r>
          </w:p>
        </w:tc>
        <w:tc>
          <w:tcPr>
            <w:tcW w:w="774" w:type="pct"/>
            <w:tcBorders>
              <w:top w:val="single" w:sz="4" w:space="0" w:color="auto"/>
              <w:bottom w:val="single" w:sz="4" w:space="0" w:color="auto"/>
            </w:tcBorders>
            <w:vAlign w:val="center"/>
          </w:tcPr>
          <w:p w:rsidR="00392C84" w:rsidRPr="00392C84" w:rsidRDefault="00392C84" w:rsidP="00392C84">
            <w:r w:rsidRPr="00392C84">
              <w:t>R-squared</w:t>
            </w:r>
          </w:p>
        </w:tc>
        <w:tc>
          <w:tcPr>
            <w:tcW w:w="858" w:type="pct"/>
            <w:tcBorders>
              <w:top w:val="single" w:sz="4" w:space="0" w:color="auto"/>
              <w:bottom w:val="single" w:sz="4" w:space="0" w:color="auto"/>
            </w:tcBorders>
            <w:vAlign w:val="center"/>
          </w:tcPr>
          <w:p w:rsidR="00392C84" w:rsidRPr="00392C84" w:rsidRDefault="00392C84" w:rsidP="00392C84">
            <w:r w:rsidRPr="00392C84">
              <w:t>Adj. R-squared</w:t>
            </w:r>
          </w:p>
        </w:tc>
      </w:tr>
      <w:tr w:rsidR="00392C84" w:rsidRPr="00392C84" w:rsidTr="00392C84">
        <w:trPr>
          <w:trHeight w:val="74"/>
        </w:trPr>
        <w:tc>
          <w:tcPr>
            <w:tcW w:w="678" w:type="pct"/>
            <w:vMerge w:val="restart"/>
            <w:vAlign w:val="center"/>
          </w:tcPr>
          <w:p w:rsidR="00392C84" w:rsidRPr="00392C84" w:rsidRDefault="00392C84" w:rsidP="00392C84">
            <w:r w:rsidRPr="00392C84">
              <w:t>Model 2</w:t>
            </w:r>
          </w:p>
        </w:tc>
        <w:tc>
          <w:tcPr>
            <w:tcW w:w="859" w:type="pct"/>
            <w:vAlign w:val="center"/>
          </w:tcPr>
          <w:p w:rsidR="00392C84" w:rsidRPr="00392C84" w:rsidRDefault="00392C84" w:rsidP="00392C84">
            <w:r w:rsidRPr="00392C84">
              <w:t>1.3295</w:t>
            </w:r>
          </w:p>
        </w:tc>
        <w:tc>
          <w:tcPr>
            <w:tcW w:w="919" w:type="pct"/>
            <w:vAlign w:val="center"/>
          </w:tcPr>
          <w:p w:rsidR="00392C84" w:rsidRPr="00392C84" w:rsidRDefault="00392C84" w:rsidP="00392C84">
            <w:r w:rsidRPr="00392C84">
              <w:t>0.9522</w:t>
            </w:r>
          </w:p>
        </w:tc>
        <w:tc>
          <w:tcPr>
            <w:tcW w:w="911" w:type="pct"/>
            <w:vAlign w:val="center"/>
          </w:tcPr>
          <w:p w:rsidR="00392C84" w:rsidRPr="00392C84" w:rsidRDefault="00392C84" w:rsidP="00392C84">
            <w:r w:rsidRPr="00392C84">
              <w:t>3.03E-06</w:t>
            </w:r>
          </w:p>
        </w:tc>
        <w:tc>
          <w:tcPr>
            <w:tcW w:w="774" w:type="pct"/>
            <w:vMerge w:val="restart"/>
            <w:vAlign w:val="center"/>
          </w:tcPr>
          <w:p w:rsidR="00392C84" w:rsidRPr="00392C84" w:rsidRDefault="00392C84" w:rsidP="00392C84">
            <w:r w:rsidRPr="00392C84">
              <w:t>0.9088</w:t>
            </w:r>
          </w:p>
        </w:tc>
        <w:tc>
          <w:tcPr>
            <w:tcW w:w="858" w:type="pct"/>
            <w:vMerge w:val="restart"/>
            <w:vAlign w:val="center"/>
          </w:tcPr>
          <w:p w:rsidR="00392C84" w:rsidRPr="00392C84" w:rsidRDefault="00392C84" w:rsidP="00392C84">
            <w:r w:rsidRPr="00392C84">
              <w:t>0.9084</w:t>
            </w:r>
          </w:p>
        </w:tc>
      </w:tr>
      <w:tr w:rsidR="00392C84" w:rsidRPr="00392C84" w:rsidTr="00392C84">
        <w:trPr>
          <w:trHeight w:val="74"/>
        </w:trPr>
        <w:tc>
          <w:tcPr>
            <w:tcW w:w="678" w:type="pct"/>
            <w:vMerge/>
            <w:vAlign w:val="center"/>
          </w:tcPr>
          <w:p w:rsidR="00392C84" w:rsidRPr="00392C84" w:rsidRDefault="00392C84" w:rsidP="00392C84"/>
        </w:tc>
        <w:tc>
          <w:tcPr>
            <w:tcW w:w="859" w:type="pct"/>
            <w:vAlign w:val="center"/>
          </w:tcPr>
          <w:p w:rsidR="00392C84" w:rsidRPr="00392C84" w:rsidRDefault="00392C84" w:rsidP="00392C84">
            <w:r w:rsidRPr="00392C84">
              <w:t>(2.16)**</w:t>
            </w:r>
          </w:p>
        </w:tc>
        <w:tc>
          <w:tcPr>
            <w:tcW w:w="919" w:type="pct"/>
            <w:vAlign w:val="center"/>
          </w:tcPr>
          <w:p w:rsidR="00392C84" w:rsidRPr="00392C84" w:rsidRDefault="00392C84" w:rsidP="00392C84">
            <w:r w:rsidRPr="00392C84">
              <w:t>(35.05)***</w:t>
            </w:r>
          </w:p>
        </w:tc>
        <w:tc>
          <w:tcPr>
            <w:tcW w:w="911" w:type="pct"/>
            <w:vAlign w:val="center"/>
          </w:tcPr>
          <w:p w:rsidR="00392C84" w:rsidRPr="00392C84" w:rsidRDefault="00392C84" w:rsidP="00392C84">
            <w:r w:rsidRPr="00392C84">
              <w:t>(3.29)***</w:t>
            </w:r>
          </w:p>
        </w:tc>
        <w:tc>
          <w:tcPr>
            <w:tcW w:w="774" w:type="pct"/>
            <w:vMerge/>
            <w:vAlign w:val="center"/>
          </w:tcPr>
          <w:p w:rsidR="00392C84" w:rsidRPr="00392C84" w:rsidRDefault="00392C84" w:rsidP="00392C84"/>
        </w:tc>
        <w:tc>
          <w:tcPr>
            <w:tcW w:w="858" w:type="pct"/>
            <w:vMerge/>
            <w:vAlign w:val="center"/>
          </w:tcPr>
          <w:p w:rsidR="00392C84" w:rsidRPr="00392C84" w:rsidRDefault="00392C84" w:rsidP="00392C84"/>
        </w:tc>
      </w:tr>
      <w:tr w:rsidR="00392C84" w:rsidRPr="00392C84" w:rsidTr="00392C84">
        <w:trPr>
          <w:trHeight w:val="143"/>
        </w:trPr>
        <w:tc>
          <w:tcPr>
            <w:tcW w:w="678" w:type="pct"/>
            <w:vMerge w:val="restart"/>
            <w:vAlign w:val="center"/>
          </w:tcPr>
          <w:p w:rsidR="00392C84" w:rsidRPr="00392C84" w:rsidRDefault="00392C84" w:rsidP="00392C84">
            <w:r w:rsidRPr="00392C84">
              <w:t>Model 3</w:t>
            </w:r>
          </w:p>
        </w:tc>
        <w:tc>
          <w:tcPr>
            <w:tcW w:w="859" w:type="pct"/>
            <w:vAlign w:val="center"/>
          </w:tcPr>
          <w:p w:rsidR="00392C84" w:rsidRPr="00392C84" w:rsidRDefault="00392C84" w:rsidP="00392C84">
            <w:r w:rsidRPr="00392C84">
              <w:t>0.1238</w:t>
            </w:r>
          </w:p>
        </w:tc>
        <w:tc>
          <w:tcPr>
            <w:tcW w:w="919" w:type="pct"/>
            <w:vAlign w:val="center"/>
          </w:tcPr>
          <w:p w:rsidR="00392C84" w:rsidRPr="00392C84" w:rsidRDefault="00392C84" w:rsidP="00392C84">
            <w:r w:rsidRPr="00392C84">
              <w:t>-0.0627</w:t>
            </w:r>
          </w:p>
        </w:tc>
        <w:tc>
          <w:tcPr>
            <w:tcW w:w="911" w:type="pct"/>
            <w:vAlign w:val="center"/>
          </w:tcPr>
          <w:p w:rsidR="00392C84" w:rsidRPr="00392C84" w:rsidRDefault="00392C84" w:rsidP="00392C84">
            <w:r w:rsidRPr="00392C84">
              <w:t>2.90E-06</w:t>
            </w:r>
          </w:p>
        </w:tc>
        <w:tc>
          <w:tcPr>
            <w:tcW w:w="774" w:type="pct"/>
            <w:vMerge w:val="restart"/>
            <w:vAlign w:val="center"/>
          </w:tcPr>
          <w:p w:rsidR="00392C84" w:rsidRPr="00392C84" w:rsidRDefault="00392C84" w:rsidP="00392C84">
            <w:r w:rsidRPr="00392C84">
              <w:t>0.0159</w:t>
            </w:r>
          </w:p>
        </w:tc>
        <w:tc>
          <w:tcPr>
            <w:tcW w:w="858" w:type="pct"/>
            <w:vMerge w:val="restart"/>
            <w:vAlign w:val="center"/>
          </w:tcPr>
          <w:p w:rsidR="00392C84" w:rsidRPr="00392C84" w:rsidRDefault="00392C84" w:rsidP="00392C84">
            <w:r w:rsidRPr="00392C84">
              <w:t>0.0109</w:t>
            </w:r>
          </w:p>
        </w:tc>
      </w:tr>
      <w:tr w:rsidR="00392C84" w:rsidRPr="00392C84" w:rsidTr="00392C84">
        <w:trPr>
          <w:trHeight w:val="143"/>
        </w:trPr>
        <w:tc>
          <w:tcPr>
            <w:tcW w:w="678" w:type="pct"/>
            <w:vMerge/>
            <w:vAlign w:val="center"/>
          </w:tcPr>
          <w:p w:rsidR="00392C84" w:rsidRPr="00392C84" w:rsidRDefault="00392C84" w:rsidP="00392C84"/>
        </w:tc>
        <w:tc>
          <w:tcPr>
            <w:tcW w:w="859" w:type="pct"/>
            <w:vAlign w:val="center"/>
          </w:tcPr>
          <w:p w:rsidR="00392C84" w:rsidRPr="00392C84" w:rsidRDefault="00392C84" w:rsidP="00392C84">
            <w:r w:rsidRPr="00392C84">
              <w:t>(0.79)</w:t>
            </w:r>
          </w:p>
        </w:tc>
        <w:tc>
          <w:tcPr>
            <w:tcW w:w="919" w:type="pct"/>
            <w:vAlign w:val="center"/>
          </w:tcPr>
          <w:p w:rsidR="00392C84" w:rsidRPr="00392C84" w:rsidRDefault="00392C84" w:rsidP="00392C84">
            <w:r w:rsidRPr="00392C84">
              <w:t>(-0.87)</w:t>
            </w:r>
          </w:p>
        </w:tc>
        <w:tc>
          <w:tcPr>
            <w:tcW w:w="911" w:type="pct"/>
            <w:vAlign w:val="center"/>
          </w:tcPr>
          <w:p w:rsidR="00392C84" w:rsidRPr="00392C84" w:rsidRDefault="00392C84" w:rsidP="00392C84">
            <w:r w:rsidRPr="00392C84">
              <w:t>(3.03)***</w:t>
            </w:r>
          </w:p>
        </w:tc>
        <w:tc>
          <w:tcPr>
            <w:tcW w:w="774" w:type="pct"/>
            <w:vMerge/>
            <w:vAlign w:val="center"/>
          </w:tcPr>
          <w:p w:rsidR="00392C84" w:rsidRPr="00392C84" w:rsidRDefault="00392C84" w:rsidP="00392C84"/>
        </w:tc>
        <w:tc>
          <w:tcPr>
            <w:tcW w:w="858" w:type="pct"/>
            <w:vMerge/>
            <w:vAlign w:val="center"/>
          </w:tcPr>
          <w:p w:rsidR="00392C84" w:rsidRPr="00392C84" w:rsidRDefault="00392C84" w:rsidP="00392C84"/>
        </w:tc>
      </w:tr>
      <w:tr w:rsidR="00392C84" w:rsidRPr="00392C84" w:rsidTr="00392C84">
        <w:trPr>
          <w:trHeight w:val="74"/>
        </w:trPr>
        <w:tc>
          <w:tcPr>
            <w:tcW w:w="678" w:type="pct"/>
            <w:vMerge w:val="restart"/>
            <w:vAlign w:val="center"/>
          </w:tcPr>
          <w:p w:rsidR="00392C84" w:rsidRPr="00392C84" w:rsidRDefault="00392C84" w:rsidP="00392C84">
            <w:r w:rsidRPr="00392C84">
              <w:t>Model 4</w:t>
            </w:r>
          </w:p>
        </w:tc>
        <w:tc>
          <w:tcPr>
            <w:tcW w:w="859" w:type="pct"/>
            <w:vAlign w:val="center"/>
          </w:tcPr>
          <w:p w:rsidR="00392C84" w:rsidRPr="00392C84" w:rsidRDefault="00392C84" w:rsidP="00392C84">
            <w:r w:rsidRPr="00392C84">
              <w:t>1.1217</w:t>
            </w:r>
          </w:p>
        </w:tc>
        <w:tc>
          <w:tcPr>
            <w:tcW w:w="919" w:type="pct"/>
            <w:vAlign w:val="center"/>
          </w:tcPr>
          <w:p w:rsidR="00392C84" w:rsidRPr="00392C84" w:rsidRDefault="00392C84" w:rsidP="00392C84">
            <w:r w:rsidRPr="00392C84">
              <w:t>0.9534</w:t>
            </w:r>
          </w:p>
        </w:tc>
        <w:tc>
          <w:tcPr>
            <w:tcW w:w="911" w:type="pct"/>
            <w:vAlign w:val="center"/>
          </w:tcPr>
          <w:p w:rsidR="00392C84" w:rsidRPr="00392C84" w:rsidRDefault="00392C84" w:rsidP="00392C84">
            <w:r w:rsidRPr="00392C84">
              <w:t>-1.72E-06</w:t>
            </w:r>
          </w:p>
        </w:tc>
        <w:tc>
          <w:tcPr>
            <w:tcW w:w="774" w:type="pct"/>
            <w:vMerge w:val="restart"/>
            <w:vAlign w:val="center"/>
          </w:tcPr>
          <w:p w:rsidR="00392C84" w:rsidRPr="00392C84" w:rsidRDefault="00392C84" w:rsidP="00392C84">
            <w:r w:rsidRPr="00392C84">
              <w:t>0.908</w:t>
            </w:r>
          </w:p>
        </w:tc>
        <w:tc>
          <w:tcPr>
            <w:tcW w:w="858" w:type="pct"/>
            <w:vMerge w:val="restart"/>
            <w:vAlign w:val="center"/>
          </w:tcPr>
          <w:p w:rsidR="00392C84" w:rsidRPr="00392C84" w:rsidRDefault="00392C84" w:rsidP="00392C84">
            <w:r w:rsidRPr="00392C84">
              <w:t>0.9076</w:t>
            </w:r>
          </w:p>
        </w:tc>
      </w:tr>
      <w:tr w:rsidR="00392C84" w:rsidRPr="00392C84" w:rsidTr="00392C84">
        <w:trPr>
          <w:trHeight w:val="74"/>
        </w:trPr>
        <w:tc>
          <w:tcPr>
            <w:tcW w:w="678" w:type="pct"/>
            <w:vMerge/>
            <w:vAlign w:val="center"/>
          </w:tcPr>
          <w:p w:rsidR="00392C84" w:rsidRPr="00392C84" w:rsidRDefault="00392C84" w:rsidP="00392C84"/>
        </w:tc>
        <w:tc>
          <w:tcPr>
            <w:tcW w:w="859" w:type="pct"/>
            <w:vAlign w:val="center"/>
          </w:tcPr>
          <w:p w:rsidR="00392C84" w:rsidRPr="00392C84" w:rsidRDefault="00392C84" w:rsidP="00392C84">
            <w:r w:rsidRPr="00392C84">
              <w:t>(1.80)*</w:t>
            </w:r>
          </w:p>
        </w:tc>
        <w:tc>
          <w:tcPr>
            <w:tcW w:w="919" w:type="pct"/>
            <w:vAlign w:val="center"/>
          </w:tcPr>
          <w:p w:rsidR="00392C84" w:rsidRPr="00392C84" w:rsidRDefault="00392C84" w:rsidP="00392C84">
            <w:r w:rsidRPr="00392C84">
              <w:t>(34.84)***</w:t>
            </w:r>
          </w:p>
        </w:tc>
        <w:tc>
          <w:tcPr>
            <w:tcW w:w="911" w:type="pct"/>
            <w:vAlign w:val="center"/>
          </w:tcPr>
          <w:p w:rsidR="00392C84" w:rsidRPr="00392C84" w:rsidRDefault="00392C84" w:rsidP="00392C84">
            <w:r w:rsidRPr="00392C84">
              <w:t>(-1.42)</w:t>
            </w:r>
          </w:p>
        </w:tc>
        <w:tc>
          <w:tcPr>
            <w:tcW w:w="774" w:type="pct"/>
            <w:vMerge/>
            <w:vAlign w:val="center"/>
          </w:tcPr>
          <w:p w:rsidR="00392C84" w:rsidRPr="00392C84" w:rsidRDefault="00392C84" w:rsidP="00392C84"/>
        </w:tc>
        <w:tc>
          <w:tcPr>
            <w:tcW w:w="858" w:type="pct"/>
            <w:vMerge/>
            <w:vAlign w:val="center"/>
          </w:tcPr>
          <w:p w:rsidR="00392C84" w:rsidRPr="00392C84" w:rsidRDefault="00392C84" w:rsidP="00392C84"/>
        </w:tc>
      </w:tr>
      <w:tr w:rsidR="00392C84" w:rsidRPr="00392C84" w:rsidTr="00392C84">
        <w:trPr>
          <w:trHeight w:val="74"/>
        </w:trPr>
        <w:tc>
          <w:tcPr>
            <w:tcW w:w="678" w:type="pct"/>
            <w:vMerge w:val="restart"/>
            <w:vAlign w:val="center"/>
          </w:tcPr>
          <w:p w:rsidR="00392C84" w:rsidRPr="00392C84" w:rsidRDefault="00392C84" w:rsidP="00392C84">
            <w:r w:rsidRPr="00392C84">
              <w:t>Model 5</w:t>
            </w:r>
          </w:p>
        </w:tc>
        <w:tc>
          <w:tcPr>
            <w:tcW w:w="859" w:type="pct"/>
            <w:vAlign w:val="center"/>
          </w:tcPr>
          <w:p w:rsidR="00392C84" w:rsidRPr="00392C84" w:rsidRDefault="00392C84" w:rsidP="00392C84">
            <w:r w:rsidRPr="00392C84">
              <w:t>-46794.5</w:t>
            </w:r>
          </w:p>
        </w:tc>
        <w:tc>
          <w:tcPr>
            <w:tcW w:w="919" w:type="pct"/>
            <w:vAlign w:val="center"/>
          </w:tcPr>
          <w:p w:rsidR="00392C84" w:rsidRPr="00392C84" w:rsidRDefault="00392C84" w:rsidP="00392C84">
            <w:r w:rsidRPr="00392C84">
              <w:t>164.826</w:t>
            </w:r>
          </w:p>
        </w:tc>
        <w:tc>
          <w:tcPr>
            <w:tcW w:w="911" w:type="pct"/>
            <w:vAlign w:val="center"/>
          </w:tcPr>
          <w:p w:rsidR="00392C84" w:rsidRPr="00392C84" w:rsidRDefault="00392C84" w:rsidP="00392C84">
            <w:r w:rsidRPr="00392C84">
              <w:t>-0.1357</w:t>
            </w:r>
          </w:p>
        </w:tc>
        <w:tc>
          <w:tcPr>
            <w:tcW w:w="774" w:type="pct"/>
            <w:vMerge w:val="restart"/>
            <w:vAlign w:val="center"/>
          </w:tcPr>
          <w:p w:rsidR="00392C84" w:rsidRPr="00392C84" w:rsidRDefault="00392C84" w:rsidP="00392C84">
            <w:r w:rsidRPr="00392C84">
              <w:t>0.0186</w:t>
            </w:r>
          </w:p>
        </w:tc>
        <w:tc>
          <w:tcPr>
            <w:tcW w:w="858" w:type="pct"/>
            <w:vMerge w:val="restart"/>
            <w:vAlign w:val="center"/>
          </w:tcPr>
          <w:p w:rsidR="00392C84" w:rsidRPr="00392C84" w:rsidRDefault="00392C84" w:rsidP="00392C84">
            <w:r w:rsidRPr="00392C84">
              <w:t>0.0136</w:t>
            </w:r>
          </w:p>
        </w:tc>
      </w:tr>
      <w:tr w:rsidR="00392C84" w:rsidRPr="00392C84" w:rsidTr="00392C84">
        <w:trPr>
          <w:trHeight w:val="74"/>
        </w:trPr>
        <w:tc>
          <w:tcPr>
            <w:tcW w:w="678" w:type="pct"/>
            <w:vMerge/>
            <w:vAlign w:val="center"/>
          </w:tcPr>
          <w:p w:rsidR="00392C84" w:rsidRPr="00392C84" w:rsidRDefault="00392C84" w:rsidP="00392C84"/>
        </w:tc>
        <w:tc>
          <w:tcPr>
            <w:tcW w:w="859" w:type="pct"/>
            <w:vAlign w:val="center"/>
          </w:tcPr>
          <w:p w:rsidR="00392C84" w:rsidRPr="00392C84" w:rsidRDefault="00392C84" w:rsidP="00392C84">
            <w:r w:rsidRPr="00392C84">
              <w:t>(-3.07)***</w:t>
            </w:r>
          </w:p>
        </w:tc>
        <w:tc>
          <w:tcPr>
            <w:tcW w:w="919" w:type="pct"/>
            <w:vAlign w:val="center"/>
          </w:tcPr>
          <w:p w:rsidR="00392C84" w:rsidRPr="00392C84" w:rsidRDefault="00392C84" w:rsidP="00392C84">
            <w:r w:rsidRPr="00392C84">
              <w:t>(0.37)</w:t>
            </w:r>
          </w:p>
        </w:tc>
        <w:tc>
          <w:tcPr>
            <w:tcW w:w="911" w:type="pct"/>
            <w:vAlign w:val="center"/>
          </w:tcPr>
          <w:p w:rsidR="00392C84" w:rsidRPr="00392C84" w:rsidRDefault="00392C84" w:rsidP="00392C84">
            <w:r w:rsidRPr="00392C84">
              <w:t>(-1.92)*</w:t>
            </w:r>
          </w:p>
        </w:tc>
        <w:tc>
          <w:tcPr>
            <w:tcW w:w="774" w:type="pct"/>
            <w:vMerge/>
            <w:vAlign w:val="center"/>
          </w:tcPr>
          <w:p w:rsidR="00392C84" w:rsidRPr="00392C84" w:rsidRDefault="00392C84" w:rsidP="00392C84"/>
        </w:tc>
        <w:tc>
          <w:tcPr>
            <w:tcW w:w="858" w:type="pct"/>
            <w:vMerge/>
            <w:vAlign w:val="center"/>
          </w:tcPr>
          <w:p w:rsidR="00392C84" w:rsidRPr="00392C84" w:rsidRDefault="00392C84" w:rsidP="00392C84"/>
        </w:tc>
      </w:tr>
    </w:tbl>
    <w:p w:rsidR="00392C84" w:rsidRDefault="00392C84" w:rsidP="00392C84">
      <w:pPr>
        <w:jc w:val="center"/>
        <w:rPr>
          <w:b/>
        </w:rPr>
      </w:pPr>
    </w:p>
    <w:p w:rsidR="007E1778" w:rsidRDefault="007E1778" w:rsidP="00392C84">
      <w:pPr>
        <w:jc w:val="center"/>
        <w:rPr>
          <w:b/>
        </w:rPr>
      </w:pPr>
    </w:p>
    <w:p w:rsidR="007E1778" w:rsidRDefault="007E1778" w:rsidP="007E1778">
      <w:pPr>
        <w:jc w:val="center"/>
        <w:rPr>
          <w:b/>
        </w:rPr>
      </w:pPr>
      <w:r>
        <w:rPr>
          <w:rFonts w:hint="eastAsia"/>
          <w:b/>
        </w:rPr>
        <w:t>&lt;</w:t>
      </w:r>
      <w:r w:rsidRPr="00392C84">
        <w:rPr>
          <w:b/>
        </w:rPr>
        <w:t>표</w:t>
      </w:r>
      <w:r>
        <w:rPr>
          <w:b/>
        </w:rPr>
        <w:t xml:space="preserve"> </w:t>
      </w:r>
      <w:r>
        <w:rPr>
          <w:rFonts w:hint="eastAsia"/>
          <w:b/>
        </w:rPr>
        <w:t>9&gt;</w:t>
      </w:r>
      <w:r w:rsidRPr="00392C84">
        <w:rPr>
          <w:b/>
        </w:rPr>
        <w:t xml:space="preserve"> 증권회사</w:t>
      </w:r>
      <w:r>
        <w:rPr>
          <w:rFonts w:hint="eastAsia"/>
          <w:b/>
        </w:rPr>
        <w:t>와 투자회사</w:t>
      </w:r>
      <w:r w:rsidRPr="00392C84">
        <w:rPr>
          <w:b/>
        </w:rPr>
        <w:t>의 거래 강도가 강한 기간 전후의 변동성 누적 변화</w:t>
      </w:r>
    </w:p>
    <w:p w:rsidR="007E1778" w:rsidRDefault="007E1778" w:rsidP="007E1778">
      <w:r w:rsidRPr="00392C84">
        <w:t xml:space="preserve">이 표는 투자자 거래강도를 이용하여 매수강도와 매도강도가 강했던 기간의 전후 변동성의 누적변화를 보여준다. 매수강도에 따라 10개의 그룹으로 나누고 이 중 매수강도가 가장 컸던 기간과 매도강도가 가장 컸던 기간을 대상으로 전후 변동성 변화를 계산한다. </w:t>
      </w:r>
      <w:proofErr w:type="spellStart"/>
      <w:r w:rsidRPr="00392C84">
        <w:t>Decile</w:t>
      </w:r>
      <w:proofErr w:type="spellEnd"/>
      <w:r w:rsidRPr="00392C84">
        <w:t xml:space="preserve"> 1은 증권회사</w:t>
      </w:r>
      <w:r>
        <w:rPr>
          <w:rFonts w:hint="eastAsia"/>
        </w:rPr>
        <w:t>(투자회사)</w:t>
      </w:r>
      <w:r w:rsidRPr="00392C84">
        <w:t xml:space="preserve">에 의한 매도강도가 가장 강했던 기간의 자료이며, </w:t>
      </w:r>
      <w:proofErr w:type="spellStart"/>
      <w:r w:rsidRPr="00392C84">
        <w:t>Decile</w:t>
      </w:r>
      <w:proofErr w:type="spellEnd"/>
      <w:r w:rsidRPr="00392C84">
        <w:t xml:space="preserve"> 10은 증권회사</w:t>
      </w:r>
      <w:r>
        <w:rPr>
          <w:rFonts w:hint="eastAsia"/>
        </w:rPr>
        <w:t>(투자회사)</w:t>
      </w:r>
      <w:r w:rsidRPr="00392C84">
        <w:t>의 매수강도가 가장 강했던 기간의 자료들이다. K는 자료 이전 또는 이후의 날짜수를 나타낸다. 예를 들면, CV(t-k</w:t>
      </w:r>
      <w:proofErr w:type="gramStart"/>
      <w:r w:rsidRPr="00392C84">
        <w:t>,t</w:t>
      </w:r>
      <w:proofErr w:type="gramEnd"/>
      <w:r w:rsidRPr="00392C84">
        <w:t xml:space="preserve">-1)은 </w:t>
      </w:r>
      <w:proofErr w:type="spellStart"/>
      <w:r w:rsidRPr="00392C84">
        <w:t>거래주</w:t>
      </w:r>
      <w:proofErr w:type="spellEnd"/>
      <w:r w:rsidRPr="00392C84">
        <w:t xml:space="preserve"> 이전에 k일까지 변동성의 누적변화(cumulative volatility change)를 보여주며, C(t+1,t+k)는 </w:t>
      </w:r>
      <w:proofErr w:type="spellStart"/>
      <w:r w:rsidRPr="00392C84">
        <w:t>거래주</w:t>
      </w:r>
      <w:proofErr w:type="spellEnd"/>
      <w:r w:rsidRPr="00392C84">
        <w:t xml:space="preserve"> 이후부터 k일까지의 변동성 변화를 나타낸다. </w:t>
      </w:r>
      <w:proofErr w:type="spellStart"/>
      <w:r w:rsidRPr="00392C84">
        <w:t>시계열</w:t>
      </w:r>
      <w:proofErr w:type="spellEnd"/>
      <w:r w:rsidRPr="00392C84">
        <w:t xml:space="preserve"> 평균과 t-통계량은 각 그룹에 속한 자료의 결과로부터 계산되며, *, **, *** 는 각각 10%, 5%, 1%의 신뢰수준 유의성을 나타낸다.</w:t>
      </w:r>
    </w:p>
    <w:p w:rsidR="007E1778" w:rsidRPr="009B56D6" w:rsidRDefault="007E1778" w:rsidP="007E1778">
      <w:pPr>
        <w:rPr>
          <w:sz w:val="10"/>
        </w:rPr>
      </w:pPr>
    </w:p>
    <w:p w:rsidR="007E1778" w:rsidRPr="009B56D6" w:rsidRDefault="007E1778" w:rsidP="007E1778">
      <w:r w:rsidRPr="009B56D6">
        <w:rPr>
          <w:rFonts w:hint="eastAsia"/>
          <w:b/>
        </w:rPr>
        <w:t>Panel A: 증권회사</w:t>
      </w:r>
    </w:p>
    <w:tbl>
      <w:tblPr>
        <w:tblW w:w="5000" w:type="pct"/>
        <w:tblCellMar>
          <w:left w:w="99" w:type="dxa"/>
          <w:right w:w="99" w:type="dxa"/>
        </w:tblCellMar>
        <w:tblLook w:val="04A0"/>
      </w:tblPr>
      <w:tblGrid>
        <w:gridCol w:w="1839"/>
        <w:gridCol w:w="1420"/>
        <w:gridCol w:w="1144"/>
        <w:gridCol w:w="1144"/>
        <w:gridCol w:w="1072"/>
        <w:gridCol w:w="1251"/>
        <w:gridCol w:w="1354"/>
      </w:tblGrid>
      <w:tr w:rsidR="007E1778" w:rsidRPr="00392C84" w:rsidTr="00D53D90">
        <w:trPr>
          <w:trHeight w:val="195"/>
        </w:trPr>
        <w:tc>
          <w:tcPr>
            <w:tcW w:w="997" w:type="pct"/>
            <w:tcBorders>
              <w:top w:val="single" w:sz="4" w:space="0" w:color="auto"/>
              <w:left w:val="nil"/>
              <w:bottom w:val="single" w:sz="4" w:space="0" w:color="auto"/>
              <w:right w:val="nil"/>
            </w:tcBorders>
            <w:shd w:val="clear" w:color="auto" w:fill="auto"/>
            <w:noWrap/>
            <w:vAlign w:val="center"/>
            <w:hideMark/>
          </w:tcPr>
          <w:p w:rsidR="007E1778" w:rsidRPr="00392C84" w:rsidRDefault="007E1778" w:rsidP="00D53D90">
            <w:r w:rsidRPr="00392C84">
              <w:lastRenderedPageBreak/>
              <w:t>Sample</w:t>
            </w:r>
          </w:p>
        </w:tc>
        <w:tc>
          <w:tcPr>
            <w:tcW w:w="770" w:type="pct"/>
            <w:tcBorders>
              <w:top w:val="single" w:sz="4" w:space="0" w:color="auto"/>
              <w:left w:val="nil"/>
              <w:bottom w:val="single" w:sz="4" w:space="0" w:color="auto"/>
              <w:right w:val="nil"/>
            </w:tcBorders>
            <w:shd w:val="clear" w:color="auto" w:fill="auto"/>
            <w:noWrap/>
            <w:vAlign w:val="center"/>
            <w:hideMark/>
          </w:tcPr>
          <w:p w:rsidR="007E1778" w:rsidRPr="00392C84" w:rsidRDefault="007E1778" w:rsidP="00D53D90"/>
        </w:tc>
        <w:tc>
          <w:tcPr>
            <w:tcW w:w="620" w:type="pct"/>
            <w:tcBorders>
              <w:top w:val="single" w:sz="4" w:space="0" w:color="auto"/>
              <w:left w:val="nil"/>
              <w:bottom w:val="single" w:sz="4" w:space="0" w:color="auto"/>
              <w:right w:val="nil"/>
            </w:tcBorders>
            <w:shd w:val="clear" w:color="auto" w:fill="auto"/>
            <w:noWrap/>
            <w:vAlign w:val="center"/>
            <w:hideMark/>
          </w:tcPr>
          <w:p w:rsidR="007E1778" w:rsidRPr="00392C84" w:rsidRDefault="007E1778" w:rsidP="00D53D90">
            <w:r w:rsidRPr="00392C84">
              <w:t>K=-10</w:t>
            </w:r>
          </w:p>
        </w:tc>
        <w:tc>
          <w:tcPr>
            <w:tcW w:w="620" w:type="pct"/>
            <w:tcBorders>
              <w:top w:val="single" w:sz="4" w:space="0" w:color="auto"/>
              <w:left w:val="nil"/>
              <w:bottom w:val="single" w:sz="4" w:space="0" w:color="auto"/>
              <w:right w:val="nil"/>
            </w:tcBorders>
            <w:shd w:val="clear" w:color="auto" w:fill="auto"/>
            <w:noWrap/>
            <w:vAlign w:val="center"/>
            <w:hideMark/>
          </w:tcPr>
          <w:p w:rsidR="007E1778" w:rsidRPr="00392C84" w:rsidRDefault="007E1778" w:rsidP="00D53D90">
            <w:r w:rsidRPr="00392C84">
              <w:t>K=-5</w:t>
            </w:r>
          </w:p>
        </w:tc>
        <w:tc>
          <w:tcPr>
            <w:tcW w:w="581" w:type="pct"/>
            <w:tcBorders>
              <w:top w:val="single" w:sz="4" w:space="0" w:color="auto"/>
              <w:left w:val="nil"/>
              <w:bottom w:val="single" w:sz="4" w:space="0" w:color="auto"/>
              <w:right w:val="nil"/>
            </w:tcBorders>
            <w:shd w:val="clear" w:color="auto" w:fill="auto"/>
            <w:noWrap/>
            <w:vAlign w:val="center"/>
            <w:hideMark/>
          </w:tcPr>
          <w:p w:rsidR="007E1778" w:rsidRPr="00392C84" w:rsidRDefault="007E1778" w:rsidP="00D53D90">
            <w:r w:rsidRPr="00392C84">
              <w:t>K=0</w:t>
            </w:r>
          </w:p>
        </w:tc>
        <w:tc>
          <w:tcPr>
            <w:tcW w:w="678" w:type="pct"/>
            <w:tcBorders>
              <w:top w:val="single" w:sz="4" w:space="0" w:color="auto"/>
              <w:left w:val="nil"/>
              <w:bottom w:val="single" w:sz="4" w:space="0" w:color="auto"/>
              <w:right w:val="nil"/>
            </w:tcBorders>
            <w:shd w:val="clear" w:color="auto" w:fill="auto"/>
            <w:noWrap/>
            <w:vAlign w:val="center"/>
            <w:hideMark/>
          </w:tcPr>
          <w:p w:rsidR="007E1778" w:rsidRPr="00392C84" w:rsidRDefault="007E1778" w:rsidP="00D53D90">
            <w:r w:rsidRPr="00392C84">
              <w:t>K=+5</w:t>
            </w:r>
          </w:p>
        </w:tc>
        <w:tc>
          <w:tcPr>
            <w:tcW w:w="734" w:type="pct"/>
            <w:tcBorders>
              <w:top w:val="single" w:sz="4" w:space="0" w:color="auto"/>
              <w:left w:val="nil"/>
              <w:bottom w:val="single" w:sz="4" w:space="0" w:color="auto"/>
              <w:right w:val="nil"/>
            </w:tcBorders>
            <w:shd w:val="clear" w:color="auto" w:fill="auto"/>
            <w:noWrap/>
            <w:vAlign w:val="center"/>
            <w:hideMark/>
          </w:tcPr>
          <w:p w:rsidR="007E1778" w:rsidRPr="00392C84" w:rsidRDefault="007E1778" w:rsidP="00D53D90">
            <w:r w:rsidRPr="00392C84">
              <w:t>K=+10</w:t>
            </w:r>
          </w:p>
        </w:tc>
      </w:tr>
      <w:tr w:rsidR="007E1778" w:rsidRPr="00392C84" w:rsidTr="00D53D90">
        <w:trPr>
          <w:trHeight w:val="702"/>
        </w:trPr>
        <w:tc>
          <w:tcPr>
            <w:tcW w:w="997" w:type="pct"/>
            <w:tcBorders>
              <w:top w:val="single" w:sz="4" w:space="0" w:color="auto"/>
              <w:left w:val="nil"/>
              <w:right w:val="nil"/>
            </w:tcBorders>
            <w:shd w:val="clear" w:color="auto" w:fill="auto"/>
            <w:noWrap/>
            <w:vAlign w:val="center"/>
            <w:hideMark/>
          </w:tcPr>
          <w:p w:rsidR="007E1778" w:rsidRPr="00392C84" w:rsidRDefault="007E1778" w:rsidP="00D53D90">
            <w:r w:rsidRPr="00392C84">
              <w:t>Intense Selling</w:t>
            </w:r>
          </w:p>
          <w:p w:rsidR="007E1778" w:rsidRPr="00392C84" w:rsidRDefault="007E1778" w:rsidP="00D53D90">
            <w:r w:rsidRPr="00392C84">
              <w:t>(</w:t>
            </w:r>
            <w:proofErr w:type="spellStart"/>
            <w:r w:rsidRPr="00392C84">
              <w:t>decile</w:t>
            </w:r>
            <w:proofErr w:type="spellEnd"/>
            <w:r w:rsidRPr="00392C84">
              <w:t xml:space="preserve"> 1)</w:t>
            </w:r>
          </w:p>
        </w:tc>
        <w:tc>
          <w:tcPr>
            <w:tcW w:w="770" w:type="pct"/>
            <w:tcBorders>
              <w:top w:val="single" w:sz="4" w:space="0" w:color="auto"/>
              <w:left w:val="nil"/>
              <w:right w:val="nil"/>
            </w:tcBorders>
            <w:shd w:val="clear" w:color="auto" w:fill="auto"/>
            <w:noWrap/>
            <w:vAlign w:val="center"/>
            <w:hideMark/>
          </w:tcPr>
          <w:p w:rsidR="007E1778" w:rsidRPr="00392C84" w:rsidRDefault="007E1778" w:rsidP="00D53D90">
            <w:r w:rsidRPr="00392C84">
              <w:t>Mean</w:t>
            </w:r>
          </w:p>
          <w:p w:rsidR="007E1778" w:rsidRPr="00392C84" w:rsidRDefault="007E1778" w:rsidP="00D53D90">
            <w:r w:rsidRPr="00392C84">
              <w:t>t-statistics</w:t>
            </w:r>
          </w:p>
        </w:tc>
        <w:tc>
          <w:tcPr>
            <w:tcW w:w="620" w:type="pct"/>
            <w:tcBorders>
              <w:top w:val="single" w:sz="4" w:space="0" w:color="auto"/>
              <w:left w:val="nil"/>
              <w:right w:val="nil"/>
            </w:tcBorders>
            <w:shd w:val="clear" w:color="auto" w:fill="auto"/>
            <w:noWrap/>
            <w:vAlign w:val="center"/>
            <w:hideMark/>
          </w:tcPr>
          <w:p w:rsidR="007E1778" w:rsidRPr="00392C84" w:rsidRDefault="007E1778" w:rsidP="00D53D90">
            <w:r w:rsidRPr="00392C84">
              <w:t>-0.6865</w:t>
            </w:r>
          </w:p>
          <w:p w:rsidR="007E1778" w:rsidRPr="00392C84" w:rsidRDefault="007E1778" w:rsidP="00D53D90">
            <w:r w:rsidRPr="00392C84">
              <w:t>(-0.92 )</w:t>
            </w:r>
          </w:p>
        </w:tc>
        <w:tc>
          <w:tcPr>
            <w:tcW w:w="620" w:type="pct"/>
            <w:tcBorders>
              <w:top w:val="single" w:sz="4" w:space="0" w:color="auto"/>
              <w:left w:val="nil"/>
              <w:right w:val="nil"/>
            </w:tcBorders>
            <w:shd w:val="clear" w:color="auto" w:fill="auto"/>
            <w:noWrap/>
            <w:vAlign w:val="center"/>
            <w:hideMark/>
          </w:tcPr>
          <w:p w:rsidR="007E1778" w:rsidRPr="00392C84" w:rsidRDefault="007E1778" w:rsidP="00D53D90">
            <w:r w:rsidRPr="00392C84">
              <w:t>-0.3423</w:t>
            </w:r>
          </w:p>
          <w:p w:rsidR="007E1778" w:rsidRPr="00392C84" w:rsidRDefault="007E1778" w:rsidP="00D53D90">
            <w:r w:rsidRPr="00392C84">
              <w:t>(-0.70 )</w:t>
            </w:r>
          </w:p>
        </w:tc>
        <w:tc>
          <w:tcPr>
            <w:tcW w:w="581" w:type="pct"/>
            <w:tcBorders>
              <w:top w:val="single" w:sz="4" w:space="0" w:color="auto"/>
              <w:left w:val="nil"/>
              <w:right w:val="nil"/>
            </w:tcBorders>
            <w:shd w:val="clear" w:color="auto" w:fill="auto"/>
            <w:noWrap/>
            <w:vAlign w:val="center"/>
            <w:hideMark/>
          </w:tcPr>
          <w:p w:rsidR="007E1778" w:rsidRPr="00392C84" w:rsidRDefault="007E1778" w:rsidP="00D53D90">
            <w:r w:rsidRPr="00392C84">
              <w:t>0.8033</w:t>
            </w:r>
          </w:p>
          <w:p w:rsidR="007E1778" w:rsidRPr="00392C84" w:rsidRDefault="007E1778" w:rsidP="00D53D90">
            <w:r w:rsidRPr="00392C84">
              <w:t>(1.66 )*</w:t>
            </w:r>
          </w:p>
        </w:tc>
        <w:tc>
          <w:tcPr>
            <w:tcW w:w="678" w:type="pct"/>
            <w:tcBorders>
              <w:top w:val="single" w:sz="4" w:space="0" w:color="auto"/>
              <w:left w:val="nil"/>
              <w:right w:val="nil"/>
            </w:tcBorders>
            <w:shd w:val="clear" w:color="auto" w:fill="auto"/>
            <w:noWrap/>
            <w:vAlign w:val="center"/>
            <w:hideMark/>
          </w:tcPr>
          <w:p w:rsidR="007E1778" w:rsidRPr="00392C84" w:rsidRDefault="007E1778" w:rsidP="00D53D90">
            <w:r w:rsidRPr="00392C84">
              <w:t>-0.3030</w:t>
            </w:r>
          </w:p>
          <w:p w:rsidR="007E1778" w:rsidRPr="00392C84" w:rsidRDefault="007E1778" w:rsidP="00D53D90">
            <w:r w:rsidRPr="00392C84">
              <w:t>(-0.56 )</w:t>
            </w:r>
          </w:p>
        </w:tc>
        <w:tc>
          <w:tcPr>
            <w:tcW w:w="734" w:type="pct"/>
            <w:tcBorders>
              <w:top w:val="single" w:sz="4" w:space="0" w:color="auto"/>
              <w:left w:val="nil"/>
              <w:right w:val="nil"/>
            </w:tcBorders>
            <w:shd w:val="clear" w:color="auto" w:fill="auto"/>
            <w:noWrap/>
            <w:vAlign w:val="center"/>
            <w:hideMark/>
          </w:tcPr>
          <w:p w:rsidR="007E1778" w:rsidRPr="00392C84" w:rsidRDefault="007E1778" w:rsidP="00D53D90">
            <w:r w:rsidRPr="00392C84">
              <w:t>-0.2728</w:t>
            </w:r>
          </w:p>
          <w:p w:rsidR="007E1778" w:rsidRPr="00392C84" w:rsidRDefault="007E1778" w:rsidP="00D53D90">
            <w:r w:rsidRPr="00392C84">
              <w:t>(-0.31 )</w:t>
            </w:r>
          </w:p>
        </w:tc>
      </w:tr>
      <w:tr w:rsidR="007E1778" w:rsidRPr="00392C84" w:rsidTr="00D53D90">
        <w:trPr>
          <w:trHeight w:val="692"/>
        </w:trPr>
        <w:tc>
          <w:tcPr>
            <w:tcW w:w="997" w:type="pct"/>
            <w:tcBorders>
              <w:left w:val="nil"/>
              <w:right w:val="nil"/>
            </w:tcBorders>
            <w:shd w:val="clear" w:color="auto" w:fill="auto"/>
            <w:noWrap/>
            <w:vAlign w:val="center"/>
            <w:hideMark/>
          </w:tcPr>
          <w:p w:rsidR="007E1778" w:rsidRPr="00392C84" w:rsidRDefault="007E1778" w:rsidP="00D53D90">
            <w:r w:rsidRPr="00392C84">
              <w:t>Selling</w:t>
            </w:r>
          </w:p>
          <w:p w:rsidR="007E1778" w:rsidRPr="00392C84" w:rsidRDefault="007E1778" w:rsidP="00D53D90">
            <w:r w:rsidRPr="00392C84">
              <w:t>(</w:t>
            </w:r>
            <w:proofErr w:type="spellStart"/>
            <w:r w:rsidRPr="00392C84">
              <w:t>decile</w:t>
            </w:r>
            <w:proofErr w:type="spellEnd"/>
            <w:r w:rsidRPr="00392C84">
              <w:t xml:space="preserve"> 1 &amp; 2)</w:t>
            </w:r>
          </w:p>
        </w:tc>
        <w:tc>
          <w:tcPr>
            <w:tcW w:w="770" w:type="pct"/>
            <w:tcBorders>
              <w:left w:val="nil"/>
              <w:right w:val="nil"/>
            </w:tcBorders>
            <w:shd w:val="clear" w:color="auto" w:fill="auto"/>
            <w:noWrap/>
            <w:vAlign w:val="center"/>
            <w:hideMark/>
          </w:tcPr>
          <w:p w:rsidR="007E1778" w:rsidRPr="00392C84" w:rsidRDefault="007E1778" w:rsidP="00D53D90">
            <w:r w:rsidRPr="00392C84">
              <w:t>Mean</w:t>
            </w:r>
          </w:p>
          <w:p w:rsidR="007E1778" w:rsidRPr="00392C84" w:rsidRDefault="007E1778" w:rsidP="00D53D90">
            <w:r w:rsidRPr="00392C84">
              <w:t>t-statistics</w:t>
            </w:r>
          </w:p>
        </w:tc>
        <w:tc>
          <w:tcPr>
            <w:tcW w:w="620" w:type="pct"/>
            <w:tcBorders>
              <w:left w:val="nil"/>
              <w:right w:val="nil"/>
            </w:tcBorders>
            <w:shd w:val="clear" w:color="auto" w:fill="auto"/>
            <w:noWrap/>
            <w:vAlign w:val="center"/>
            <w:hideMark/>
          </w:tcPr>
          <w:p w:rsidR="007E1778" w:rsidRPr="00392C84" w:rsidRDefault="007E1778" w:rsidP="00D53D90">
            <w:r w:rsidRPr="00392C84">
              <w:t>-0.2514</w:t>
            </w:r>
          </w:p>
          <w:p w:rsidR="007E1778" w:rsidRPr="00392C84" w:rsidRDefault="007E1778" w:rsidP="00D53D90">
            <w:r w:rsidRPr="00392C84">
              <w:t>(-0.51 )</w:t>
            </w:r>
          </w:p>
        </w:tc>
        <w:tc>
          <w:tcPr>
            <w:tcW w:w="620" w:type="pct"/>
            <w:tcBorders>
              <w:left w:val="nil"/>
              <w:right w:val="nil"/>
            </w:tcBorders>
            <w:shd w:val="clear" w:color="auto" w:fill="auto"/>
            <w:noWrap/>
            <w:vAlign w:val="center"/>
            <w:hideMark/>
          </w:tcPr>
          <w:p w:rsidR="007E1778" w:rsidRPr="00392C84" w:rsidRDefault="007E1778" w:rsidP="00D53D90">
            <w:r w:rsidRPr="00392C84">
              <w:t>-0.1750</w:t>
            </w:r>
          </w:p>
          <w:p w:rsidR="007E1778" w:rsidRPr="00392C84" w:rsidRDefault="007E1778" w:rsidP="00D53D90">
            <w:r w:rsidRPr="00392C84">
              <w:t>(-0.51 )</w:t>
            </w:r>
          </w:p>
        </w:tc>
        <w:tc>
          <w:tcPr>
            <w:tcW w:w="581" w:type="pct"/>
            <w:tcBorders>
              <w:left w:val="nil"/>
              <w:right w:val="nil"/>
            </w:tcBorders>
            <w:shd w:val="clear" w:color="auto" w:fill="auto"/>
            <w:noWrap/>
            <w:vAlign w:val="center"/>
            <w:hideMark/>
          </w:tcPr>
          <w:p w:rsidR="007E1778" w:rsidRPr="00392C84" w:rsidRDefault="007E1778" w:rsidP="00D53D90">
            <w:r w:rsidRPr="00392C84">
              <w:t>0.7843</w:t>
            </w:r>
          </w:p>
          <w:p w:rsidR="007E1778" w:rsidRPr="00392C84" w:rsidRDefault="007E1778" w:rsidP="00D53D90">
            <w:r w:rsidRPr="00392C84">
              <w:t>(1.86 )*</w:t>
            </w:r>
          </w:p>
        </w:tc>
        <w:tc>
          <w:tcPr>
            <w:tcW w:w="678" w:type="pct"/>
            <w:tcBorders>
              <w:left w:val="nil"/>
              <w:right w:val="nil"/>
            </w:tcBorders>
            <w:shd w:val="clear" w:color="auto" w:fill="auto"/>
            <w:noWrap/>
            <w:vAlign w:val="center"/>
            <w:hideMark/>
          </w:tcPr>
          <w:p w:rsidR="007E1778" w:rsidRPr="00392C84" w:rsidRDefault="007E1778" w:rsidP="00D53D90">
            <w:r w:rsidRPr="00392C84">
              <w:t>-0.3076</w:t>
            </w:r>
          </w:p>
          <w:p w:rsidR="007E1778" w:rsidRPr="00392C84" w:rsidRDefault="007E1778" w:rsidP="00D53D90">
            <w:r w:rsidRPr="00392C84">
              <w:t>(-0.88 )</w:t>
            </w:r>
          </w:p>
        </w:tc>
        <w:tc>
          <w:tcPr>
            <w:tcW w:w="734" w:type="pct"/>
            <w:tcBorders>
              <w:left w:val="nil"/>
              <w:right w:val="nil"/>
            </w:tcBorders>
            <w:shd w:val="clear" w:color="auto" w:fill="auto"/>
            <w:noWrap/>
            <w:vAlign w:val="center"/>
            <w:hideMark/>
          </w:tcPr>
          <w:p w:rsidR="007E1778" w:rsidRPr="00392C84" w:rsidRDefault="007E1778" w:rsidP="00D53D90">
            <w:r w:rsidRPr="00392C84">
              <w:t>-0.2893</w:t>
            </w:r>
          </w:p>
          <w:p w:rsidR="007E1778" w:rsidRPr="00392C84" w:rsidRDefault="007E1778" w:rsidP="00D53D90">
            <w:r w:rsidRPr="00392C84">
              <w:t>(-0.57 )</w:t>
            </w:r>
          </w:p>
        </w:tc>
      </w:tr>
      <w:tr w:rsidR="007E1778" w:rsidRPr="00392C84" w:rsidTr="00D53D90">
        <w:trPr>
          <w:trHeight w:val="692"/>
        </w:trPr>
        <w:tc>
          <w:tcPr>
            <w:tcW w:w="997" w:type="pct"/>
            <w:tcBorders>
              <w:top w:val="nil"/>
              <w:left w:val="nil"/>
              <w:right w:val="nil"/>
            </w:tcBorders>
            <w:shd w:val="clear" w:color="auto" w:fill="auto"/>
            <w:noWrap/>
            <w:vAlign w:val="center"/>
            <w:hideMark/>
          </w:tcPr>
          <w:p w:rsidR="007E1778" w:rsidRPr="00392C84" w:rsidRDefault="007E1778" w:rsidP="00D53D90">
            <w:r w:rsidRPr="00392C84">
              <w:t>Buying</w:t>
            </w:r>
          </w:p>
          <w:p w:rsidR="007E1778" w:rsidRPr="00392C84" w:rsidRDefault="007E1778" w:rsidP="00D53D90">
            <w:r w:rsidRPr="00392C84">
              <w:t>(</w:t>
            </w:r>
            <w:proofErr w:type="spellStart"/>
            <w:r w:rsidRPr="00392C84">
              <w:t>decile</w:t>
            </w:r>
            <w:proofErr w:type="spellEnd"/>
            <w:r w:rsidRPr="00392C84">
              <w:t xml:space="preserve"> 9 &amp; 10)</w:t>
            </w:r>
          </w:p>
        </w:tc>
        <w:tc>
          <w:tcPr>
            <w:tcW w:w="770" w:type="pct"/>
            <w:tcBorders>
              <w:top w:val="nil"/>
              <w:left w:val="nil"/>
              <w:right w:val="nil"/>
            </w:tcBorders>
            <w:shd w:val="clear" w:color="auto" w:fill="auto"/>
            <w:noWrap/>
            <w:vAlign w:val="center"/>
            <w:hideMark/>
          </w:tcPr>
          <w:p w:rsidR="007E1778" w:rsidRPr="00392C84" w:rsidRDefault="007E1778" w:rsidP="00D53D90">
            <w:r w:rsidRPr="00392C84">
              <w:t>Mean</w:t>
            </w:r>
          </w:p>
          <w:p w:rsidR="007E1778" w:rsidRPr="00392C84" w:rsidRDefault="007E1778" w:rsidP="00D53D90">
            <w:r w:rsidRPr="00392C84">
              <w:t>t-statistics</w:t>
            </w:r>
          </w:p>
        </w:tc>
        <w:tc>
          <w:tcPr>
            <w:tcW w:w="620" w:type="pct"/>
            <w:tcBorders>
              <w:top w:val="nil"/>
              <w:left w:val="nil"/>
              <w:right w:val="nil"/>
            </w:tcBorders>
            <w:shd w:val="clear" w:color="auto" w:fill="auto"/>
            <w:noWrap/>
            <w:vAlign w:val="center"/>
            <w:hideMark/>
          </w:tcPr>
          <w:p w:rsidR="007E1778" w:rsidRPr="00392C84" w:rsidRDefault="007E1778" w:rsidP="00D53D90">
            <w:r w:rsidRPr="00392C84">
              <w:t>0.6135</w:t>
            </w:r>
          </w:p>
          <w:p w:rsidR="007E1778" w:rsidRPr="00392C84" w:rsidRDefault="007E1778" w:rsidP="00D53D90">
            <w:r w:rsidRPr="00392C84">
              <w:t>(1.00 )</w:t>
            </w:r>
          </w:p>
        </w:tc>
        <w:tc>
          <w:tcPr>
            <w:tcW w:w="620" w:type="pct"/>
            <w:tcBorders>
              <w:top w:val="nil"/>
              <w:left w:val="nil"/>
              <w:right w:val="nil"/>
            </w:tcBorders>
            <w:shd w:val="clear" w:color="auto" w:fill="auto"/>
            <w:noWrap/>
            <w:vAlign w:val="center"/>
            <w:hideMark/>
          </w:tcPr>
          <w:p w:rsidR="007E1778" w:rsidRPr="00392C84" w:rsidRDefault="007E1778" w:rsidP="00D53D90">
            <w:r w:rsidRPr="00392C84">
              <w:t>0.4144</w:t>
            </w:r>
          </w:p>
          <w:p w:rsidR="007E1778" w:rsidRPr="00392C84" w:rsidRDefault="007E1778" w:rsidP="00D53D90">
            <w:r w:rsidRPr="00392C84">
              <w:t>(1.33 )</w:t>
            </w:r>
          </w:p>
        </w:tc>
        <w:tc>
          <w:tcPr>
            <w:tcW w:w="581" w:type="pct"/>
            <w:tcBorders>
              <w:top w:val="nil"/>
              <w:left w:val="nil"/>
              <w:right w:val="nil"/>
            </w:tcBorders>
            <w:shd w:val="clear" w:color="auto" w:fill="auto"/>
            <w:noWrap/>
            <w:vAlign w:val="center"/>
            <w:hideMark/>
          </w:tcPr>
          <w:p w:rsidR="007E1778" w:rsidRPr="00392C84" w:rsidRDefault="007E1778" w:rsidP="00D53D90">
            <w:r w:rsidRPr="00392C84">
              <w:t>0.1864</w:t>
            </w:r>
          </w:p>
          <w:p w:rsidR="007E1778" w:rsidRPr="00392C84" w:rsidRDefault="007E1778" w:rsidP="00D53D90">
            <w:r w:rsidRPr="00392C84">
              <w:t>(0.64 )</w:t>
            </w:r>
          </w:p>
        </w:tc>
        <w:tc>
          <w:tcPr>
            <w:tcW w:w="678" w:type="pct"/>
            <w:tcBorders>
              <w:top w:val="nil"/>
              <w:left w:val="nil"/>
              <w:right w:val="nil"/>
            </w:tcBorders>
            <w:shd w:val="clear" w:color="auto" w:fill="auto"/>
            <w:noWrap/>
            <w:vAlign w:val="center"/>
            <w:hideMark/>
          </w:tcPr>
          <w:p w:rsidR="007E1778" w:rsidRPr="00392C84" w:rsidRDefault="007E1778" w:rsidP="00D53D90">
            <w:r w:rsidRPr="00392C84">
              <w:t>-0.5780</w:t>
            </w:r>
          </w:p>
          <w:p w:rsidR="007E1778" w:rsidRPr="00392C84" w:rsidRDefault="007E1778" w:rsidP="00D53D90">
            <w:r w:rsidRPr="00392C84">
              <w:t>(-1.26)</w:t>
            </w:r>
          </w:p>
        </w:tc>
        <w:tc>
          <w:tcPr>
            <w:tcW w:w="734" w:type="pct"/>
            <w:tcBorders>
              <w:top w:val="nil"/>
              <w:left w:val="nil"/>
              <w:right w:val="nil"/>
            </w:tcBorders>
            <w:shd w:val="clear" w:color="auto" w:fill="auto"/>
            <w:noWrap/>
            <w:vAlign w:val="center"/>
            <w:hideMark/>
          </w:tcPr>
          <w:p w:rsidR="007E1778" w:rsidRPr="00392C84" w:rsidRDefault="007E1778" w:rsidP="00D53D90">
            <w:r w:rsidRPr="00392C84">
              <w:t>-1.1785</w:t>
            </w:r>
          </w:p>
          <w:p w:rsidR="007E1778" w:rsidRPr="00392C84" w:rsidRDefault="007E1778" w:rsidP="00D53D90">
            <w:r w:rsidRPr="00392C84">
              <w:t>(-2.06 )**</w:t>
            </w:r>
          </w:p>
        </w:tc>
      </w:tr>
      <w:tr w:rsidR="007E1778" w:rsidRPr="00392C84" w:rsidTr="00D53D90">
        <w:trPr>
          <w:trHeight w:val="692"/>
        </w:trPr>
        <w:tc>
          <w:tcPr>
            <w:tcW w:w="997" w:type="pct"/>
            <w:tcBorders>
              <w:top w:val="nil"/>
              <w:left w:val="nil"/>
              <w:bottom w:val="single" w:sz="4" w:space="0" w:color="auto"/>
              <w:right w:val="nil"/>
            </w:tcBorders>
            <w:shd w:val="clear" w:color="auto" w:fill="auto"/>
            <w:noWrap/>
            <w:vAlign w:val="center"/>
            <w:hideMark/>
          </w:tcPr>
          <w:p w:rsidR="007E1778" w:rsidRPr="00392C84" w:rsidRDefault="007E1778" w:rsidP="00D53D90">
            <w:r w:rsidRPr="00392C84">
              <w:t>Intense Buying</w:t>
            </w:r>
          </w:p>
          <w:p w:rsidR="007E1778" w:rsidRPr="00392C84" w:rsidRDefault="007E1778" w:rsidP="00D53D90">
            <w:r w:rsidRPr="00392C84">
              <w:t>(</w:t>
            </w:r>
            <w:proofErr w:type="spellStart"/>
            <w:r w:rsidRPr="00392C84">
              <w:t>decile</w:t>
            </w:r>
            <w:proofErr w:type="spellEnd"/>
            <w:r w:rsidRPr="00392C84">
              <w:t xml:space="preserve"> 10)</w:t>
            </w:r>
          </w:p>
        </w:tc>
        <w:tc>
          <w:tcPr>
            <w:tcW w:w="770" w:type="pct"/>
            <w:tcBorders>
              <w:top w:val="nil"/>
              <w:left w:val="nil"/>
              <w:bottom w:val="single" w:sz="4" w:space="0" w:color="auto"/>
              <w:right w:val="nil"/>
            </w:tcBorders>
            <w:shd w:val="clear" w:color="auto" w:fill="auto"/>
            <w:noWrap/>
            <w:vAlign w:val="center"/>
            <w:hideMark/>
          </w:tcPr>
          <w:p w:rsidR="007E1778" w:rsidRPr="00392C84" w:rsidRDefault="007E1778" w:rsidP="00D53D90">
            <w:r w:rsidRPr="00392C84">
              <w:t>Mean</w:t>
            </w:r>
          </w:p>
          <w:p w:rsidR="007E1778" w:rsidRPr="00392C84" w:rsidRDefault="007E1778" w:rsidP="00D53D90">
            <w:r w:rsidRPr="00392C84">
              <w:t>t-statistics</w:t>
            </w:r>
          </w:p>
        </w:tc>
        <w:tc>
          <w:tcPr>
            <w:tcW w:w="620" w:type="pct"/>
            <w:tcBorders>
              <w:top w:val="nil"/>
              <w:left w:val="nil"/>
              <w:bottom w:val="single" w:sz="4" w:space="0" w:color="auto"/>
              <w:right w:val="nil"/>
            </w:tcBorders>
            <w:shd w:val="clear" w:color="auto" w:fill="auto"/>
            <w:noWrap/>
            <w:vAlign w:val="center"/>
            <w:hideMark/>
          </w:tcPr>
          <w:p w:rsidR="007E1778" w:rsidRPr="00392C84" w:rsidRDefault="007E1778" w:rsidP="00D53D90">
            <w:r w:rsidRPr="00392C84">
              <w:t>-0.2855</w:t>
            </w:r>
          </w:p>
          <w:p w:rsidR="007E1778" w:rsidRPr="00392C84" w:rsidRDefault="007E1778" w:rsidP="00D53D90">
            <w:r w:rsidRPr="00392C84">
              <w:t>(-0.39 )</w:t>
            </w:r>
          </w:p>
        </w:tc>
        <w:tc>
          <w:tcPr>
            <w:tcW w:w="620" w:type="pct"/>
            <w:tcBorders>
              <w:top w:val="nil"/>
              <w:left w:val="nil"/>
              <w:bottom w:val="single" w:sz="4" w:space="0" w:color="auto"/>
              <w:right w:val="nil"/>
            </w:tcBorders>
            <w:shd w:val="clear" w:color="auto" w:fill="auto"/>
            <w:noWrap/>
            <w:vAlign w:val="center"/>
            <w:hideMark/>
          </w:tcPr>
          <w:p w:rsidR="007E1778" w:rsidRPr="00392C84" w:rsidRDefault="007E1778" w:rsidP="00D53D90">
            <w:r w:rsidRPr="00392C84">
              <w:t>0.0910</w:t>
            </w:r>
          </w:p>
          <w:p w:rsidR="007E1778" w:rsidRPr="00392C84" w:rsidRDefault="007E1778" w:rsidP="00D53D90">
            <w:r w:rsidRPr="00392C84">
              <w:t>(0.28 )</w:t>
            </w:r>
          </w:p>
        </w:tc>
        <w:tc>
          <w:tcPr>
            <w:tcW w:w="581" w:type="pct"/>
            <w:tcBorders>
              <w:top w:val="nil"/>
              <w:left w:val="nil"/>
              <w:bottom w:val="single" w:sz="4" w:space="0" w:color="auto"/>
              <w:right w:val="nil"/>
            </w:tcBorders>
            <w:shd w:val="clear" w:color="auto" w:fill="auto"/>
            <w:noWrap/>
            <w:vAlign w:val="center"/>
            <w:hideMark/>
          </w:tcPr>
          <w:p w:rsidR="007E1778" w:rsidRPr="00392C84" w:rsidRDefault="007E1778" w:rsidP="00D53D90">
            <w:r w:rsidRPr="00392C84">
              <w:t>0.3053</w:t>
            </w:r>
          </w:p>
          <w:p w:rsidR="007E1778" w:rsidRPr="00392C84" w:rsidRDefault="007E1778" w:rsidP="00D53D90">
            <w:r w:rsidRPr="00392C84">
              <w:t>(0.81 )</w:t>
            </w:r>
          </w:p>
        </w:tc>
        <w:tc>
          <w:tcPr>
            <w:tcW w:w="678" w:type="pct"/>
            <w:tcBorders>
              <w:top w:val="nil"/>
              <w:left w:val="nil"/>
              <w:bottom w:val="single" w:sz="4" w:space="0" w:color="auto"/>
              <w:right w:val="nil"/>
            </w:tcBorders>
            <w:shd w:val="clear" w:color="auto" w:fill="auto"/>
            <w:noWrap/>
            <w:vAlign w:val="center"/>
            <w:hideMark/>
          </w:tcPr>
          <w:p w:rsidR="007E1778" w:rsidRPr="00392C84" w:rsidRDefault="007E1778" w:rsidP="00D53D90">
            <w:r w:rsidRPr="00392C84">
              <w:t>-1.2083</w:t>
            </w:r>
          </w:p>
          <w:p w:rsidR="007E1778" w:rsidRPr="00392C84" w:rsidRDefault="007E1778" w:rsidP="00D53D90">
            <w:r w:rsidRPr="00392C84">
              <w:t>(-1.65 )*</w:t>
            </w:r>
          </w:p>
        </w:tc>
        <w:tc>
          <w:tcPr>
            <w:tcW w:w="734" w:type="pct"/>
            <w:tcBorders>
              <w:top w:val="nil"/>
              <w:left w:val="nil"/>
              <w:bottom w:val="single" w:sz="4" w:space="0" w:color="auto"/>
              <w:right w:val="nil"/>
            </w:tcBorders>
            <w:shd w:val="clear" w:color="auto" w:fill="auto"/>
            <w:noWrap/>
            <w:vAlign w:val="center"/>
            <w:hideMark/>
          </w:tcPr>
          <w:p w:rsidR="007E1778" w:rsidRPr="00392C84" w:rsidRDefault="007E1778" w:rsidP="00D53D90">
            <w:r w:rsidRPr="00392C84">
              <w:t>-1.8478</w:t>
            </w:r>
          </w:p>
          <w:p w:rsidR="007E1778" w:rsidRPr="00392C84" w:rsidRDefault="007E1778" w:rsidP="00D53D90">
            <w:r w:rsidRPr="00392C84">
              <w:t>(-1.91 )*</w:t>
            </w:r>
          </w:p>
        </w:tc>
      </w:tr>
    </w:tbl>
    <w:p w:rsidR="007E1778" w:rsidRPr="009B56D6" w:rsidRDefault="007E1778" w:rsidP="007E1778">
      <w:pPr>
        <w:rPr>
          <w:b/>
          <w:sz w:val="10"/>
        </w:rPr>
      </w:pPr>
    </w:p>
    <w:p w:rsidR="007E1778" w:rsidRPr="009B56D6" w:rsidRDefault="007E1778" w:rsidP="007E1778">
      <w:r w:rsidRPr="009B56D6">
        <w:rPr>
          <w:rFonts w:hint="eastAsia"/>
          <w:b/>
        </w:rPr>
        <w:t xml:space="preserve">Panel </w:t>
      </w:r>
      <w:r>
        <w:rPr>
          <w:rFonts w:hint="eastAsia"/>
          <w:b/>
        </w:rPr>
        <w:t>B</w:t>
      </w:r>
      <w:r w:rsidRPr="009B56D6">
        <w:rPr>
          <w:rFonts w:hint="eastAsia"/>
          <w:b/>
        </w:rPr>
        <w:t xml:space="preserve">: </w:t>
      </w:r>
      <w:r>
        <w:rPr>
          <w:b/>
        </w:rPr>
        <w:t>투자회사</w:t>
      </w:r>
    </w:p>
    <w:tbl>
      <w:tblPr>
        <w:tblW w:w="5000" w:type="pct"/>
        <w:tblCellMar>
          <w:left w:w="99" w:type="dxa"/>
          <w:right w:w="99" w:type="dxa"/>
        </w:tblCellMar>
        <w:tblLook w:val="04A0"/>
      </w:tblPr>
      <w:tblGrid>
        <w:gridCol w:w="1852"/>
        <w:gridCol w:w="1432"/>
        <w:gridCol w:w="1135"/>
        <w:gridCol w:w="1135"/>
        <w:gridCol w:w="1404"/>
        <w:gridCol w:w="1135"/>
        <w:gridCol w:w="1131"/>
      </w:tblGrid>
      <w:tr w:rsidR="007E1778" w:rsidRPr="00392C84" w:rsidTr="00D53D90">
        <w:trPr>
          <w:trHeight w:val="347"/>
        </w:trPr>
        <w:tc>
          <w:tcPr>
            <w:tcW w:w="1004" w:type="pct"/>
            <w:tcBorders>
              <w:top w:val="single" w:sz="4" w:space="0" w:color="auto"/>
              <w:left w:val="nil"/>
              <w:bottom w:val="single" w:sz="4" w:space="0" w:color="auto"/>
              <w:right w:val="nil"/>
            </w:tcBorders>
            <w:shd w:val="clear" w:color="auto" w:fill="auto"/>
            <w:noWrap/>
            <w:vAlign w:val="center"/>
            <w:hideMark/>
          </w:tcPr>
          <w:p w:rsidR="007E1778" w:rsidRPr="00392C84" w:rsidRDefault="007E1778" w:rsidP="00D53D90">
            <w:r w:rsidRPr="00392C84">
              <w:t>Sample</w:t>
            </w:r>
          </w:p>
        </w:tc>
        <w:tc>
          <w:tcPr>
            <w:tcW w:w="776" w:type="pct"/>
            <w:tcBorders>
              <w:top w:val="single" w:sz="4" w:space="0" w:color="auto"/>
              <w:left w:val="nil"/>
              <w:bottom w:val="single" w:sz="4" w:space="0" w:color="auto"/>
              <w:right w:val="nil"/>
            </w:tcBorders>
            <w:shd w:val="clear" w:color="auto" w:fill="auto"/>
            <w:noWrap/>
            <w:vAlign w:val="center"/>
            <w:hideMark/>
          </w:tcPr>
          <w:p w:rsidR="007E1778" w:rsidRPr="00392C84" w:rsidRDefault="007E1778" w:rsidP="00D53D90"/>
        </w:tc>
        <w:tc>
          <w:tcPr>
            <w:tcW w:w="615" w:type="pct"/>
            <w:tcBorders>
              <w:top w:val="single" w:sz="4" w:space="0" w:color="auto"/>
              <w:left w:val="nil"/>
              <w:bottom w:val="single" w:sz="4" w:space="0" w:color="auto"/>
              <w:right w:val="nil"/>
            </w:tcBorders>
            <w:shd w:val="clear" w:color="auto" w:fill="auto"/>
            <w:noWrap/>
            <w:vAlign w:val="center"/>
            <w:hideMark/>
          </w:tcPr>
          <w:p w:rsidR="007E1778" w:rsidRPr="00392C84" w:rsidRDefault="007E1778" w:rsidP="00D53D90">
            <w:r w:rsidRPr="00392C84">
              <w:t>K=-10</w:t>
            </w:r>
          </w:p>
        </w:tc>
        <w:tc>
          <w:tcPr>
            <w:tcW w:w="615" w:type="pct"/>
            <w:tcBorders>
              <w:top w:val="single" w:sz="4" w:space="0" w:color="auto"/>
              <w:left w:val="nil"/>
              <w:bottom w:val="single" w:sz="4" w:space="0" w:color="auto"/>
              <w:right w:val="nil"/>
            </w:tcBorders>
            <w:shd w:val="clear" w:color="auto" w:fill="auto"/>
            <w:noWrap/>
            <w:vAlign w:val="center"/>
            <w:hideMark/>
          </w:tcPr>
          <w:p w:rsidR="007E1778" w:rsidRPr="00392C84" w:rsidRDefault="007E1778" w:rsidP="00D53D90">
            <w:r w:rsidRPr="00392C84">
              <w:t>K=-5</w:t>
            </w:r>
          </w:p>
        </w:tc>
        <w:tc>
          <w:tcPr>
            <w:tcW w:w="761" w:type="pct"/>
            <w:tcBorders>
              <w:top w:val="single" w:sz="4" w:space="0" w:color="auto"/>
              <w:left w:val="nil"/>
              <w:bottom w:val="single" w:sz="4" w:space="0" w:color="auto"/>
              <w:right w:val="nil"/>
            </w:tcBorders>
            <w:shd w:val="clear" w:color="auto" w:fill="auto"/>
            <w:noWrap/>
            <w:vAlign w:val="center"/>
            <w:hideMark/>
          </w:tcPr>
          <w:p w:rsidR="007E1778" w:rsidRPr="00392C84" w:rsidRDefault="007E1778" w:rsidP="00D53D90">
            <w:r w:rsidRPr="00392C84">
              <w:t>K=0</w:t>
            </w:r>
          </w:p>
        </w:tc>
        <w:tc>
          <w:tcPr>
            <w:tcW w:w="615" w:type="pct"/>
            <w:tcBorders>
              <w:top w:val="single" w:sz="4" w:space="0" w:color="auto"/>
              <w:left w:val="nil"/>
              <w:bottom w:val="single" w:sz="4" w:space="0" w:color="auto"/>
              <w:right w:val="nil"/>
            </w:tcBorders>
            <w:shd w:val="clear" w:color="auto" w:fill="auto"/>
            <w:noWrap/>
            <w:vAlign w:val="center"/>
            <w:hideMark/>
          </w:tcPr>
          <w:p w:rsidR="007E1778" w:rsidRPr="00392C84" w:rsidRDefault="007E1778" w:rsidP="00D53D90">
            <w:r w:rsidRPr="00392C84">
              <w:t>K=+5</w:t>
            </w:r>
          </w:p>
        </w:tc>
        <w:tc>
          <w:tcPr>
            <w:tcW w:w="613" w:type="pct"/>
            <w:tcBorders>
              <w:top w:val="single" w:sz="4" w:space="0" w:color="auto"/>
              <w:left w:val="nil"/>
              <w:bottom w:val="single" w:sz="4" w:space="0" w:color="auto"/>
              <w:right w:val="nil"/>
            </w:tcBorders>
            <w:shd w:val="clear" w:color="auto" w:fill="auto"/>
            <w:noWrap/>
            <w:vAlign w:val="center"/>
            <w:hideMark/>
          </w:tcPr>
          <w:p w:rsidR="007E1778" w:rsidRPr="00392C84" w:rsidRDefault="007E1778" w:rsidP="00D53D90">
            <w:r w:rsidRPr="00392C84">
              <w:t>K=+10</w:t>
            </w:r>
          </w:p>
        </w:tc>
      </w:tr>
      <w:tr w:rsidR="007E1778" w:rsidRPr="00392C84" w:rsidTr="00D53D90">
        <w:trPr>
          <w:trHeight w:val="358"/>
        </w:trPr>
        <w:tc>
          <w:tcPr>
            <w:tcW w:w="1004" w:type="pct"/>
            <w:vMerge w:val="restart"/>
            <w:tcBorders>
              <w:top w:val="single" w:sz="4" w:space="0" w:color="auto"/>
              <w:left w:val="nil"/>
              <w:right w:val="nil"/>
            </w:tcBorders>
            <w:shd w:val="clear" w:color="auto" w:fill="auto"/>
            <w:noWrap/>
            <w:vAlign w:val="center"/>
            <w:hideMark/>
          </w:tcPr>
          <w:p w:rsidR="007E1778" w:rsidRPr="00392C84" w:rsidRDefault="007E1778" w:rsidP="00D53D90">
            <w:r w:rsidRPr="00392C84">
              <w:t>Intense Selling</w:t>
            </w:r>
          </w:p>
          <w:p w:rsidR="007E1778" w:rsidRPr="00392C84" w:rsidRDefault="007E1778" w:rsidP="00D53D90">
            <w:r w:rsidRPr="00392C84">
              <w:t>(</w:t>
            </w:r>
            <w:proofErr w:type="spellStart"/>
            <w:r w:rsidRPr="00392C84">
              <w:t>decile</w:t>
            </w:r>
            <w:proofErr w:type="spellEnd"/>
            <w:r w:rsidRPr="00392C84">
              <w:t xml:space="preserve"> 1)</w:t>
            </w:r>
          </w:p>
        </w:tc>
        <w:tc>
          <w:tcPr>
            <w:tcW w:w="776" w:type="pct"/>
            <w:vMerge w:val="restart"/>
            <w:tcBorders>
              <w:top w:val="single" w:sz="4" w:space="0" w:color="auto"/>
              <w:left w:val="nil"/>
              <w:right w:val="nil"/>
            </w:tcBorders>
            <w:shd w:val="clear" w:color="auto" w:fill="auto"/>
            <w:noWrap/>
            <w:vAlign w:val="center"/>
            <w:hideMark/>
          </w:tcPr>
          <w:p w:rsidR="007E1778" w:rsidRPr="00392C84" w:rsidRDefault="007E1778" w:rsidP="00D53D90">
            <w:r w:rsidRPr="00392C84">
              <w:t>Mean</w:t>
            </w:r>
          </w:p>
          <w:p w:rsidR="007E1778" w:rsidRPr="00392C84" w:rsidRDefault="007E1778" w:rsidP="00D53D90">
            <w:r w:rsidRPr="00392C84">
              <w:t>t-statistics</w:t>
            </w:r>
          </w:p>
        </w:tc>
        <w:tc>
          <w:tcPr>
            <w:tcW w:w="615" w:type="pct"/>
            <w:tcBorders>
              <w:top w:val="single" w:sz="4" w:space="0" w:color="auto"/>
              <w:left w:val="nil"/>
              <w:right w:val="nil"/>
            </w:tcBorders>
            <w:shd w:val="clear" w:color="auto" w:fill="auto"/>
            <w:noWrap/>
            <w:vAlign w:val="center"/>
            <w:hideMark/>
          </w:tcPr>
          <w:p w:rsidR="007E1778" w:rsidRPr="00392C84" w:rsidRDefault="007E1778" w:rsidP="00D53D90">
            <w:r w:rsidRPr="00392C84">
              <w:t>-0.3693</w:t>
            </w:r>
          </w:p>
        </w:tc>
        <w:tc>
          <w:tcPr>
            <w:tcW w:w="615" w:type="pct"/>
            <w:tcBorders>
              <w:top w:val="single" w:sz="4" w:space="0" w:color="auto"/>
              <w:left w:val="nil"/>
              <w:right w:val="nil"/>
            </w:tcBorders>
            <w:shd w:val="clear" w:color="auto" w:fill="auto"/>
            <w:noWrap/>
            <w:vAlign w:val="center"/>
            <w:hideMark/>
          </w:tcPr>
          <w:p w:rsidR="007E1778" w:rsidRPr="00392C84" w:rsidRDefault="007E1778" w:rsidP="00D53D90">
            <w:r w:rsidRPr="00392C84">
              <w:t>0.0150</w:t>
            </w:r>
          </w:p>
        </w:tc>
        <w:tc>
          <w:tcPr>
            <w:tcW w:w="761" w:type="pct"/>
            <w:tcBorders>
              <w:top w:val="single" w:sz="4" w:space="0" w:color="auto"/>
              <w:left w:val="nil"/>
              <w:right w:val="nil"/>
            </w:tcBorders>
            <w:shd w:val="clear" w:color="auto" w:fill="auto"/>
            <w:noWrap/>
            <w:vAlign w:val="center"/>
            <w:hideMark/>
          </w:tcPr>
          <w:p w:rsidR="007E1778" w:rsidRPr="00392C84" w:rsidRDefault="007E1778" w:rsidP="00D53D90">
            <w:r w:rsidRPr="00392C84">
              <w:t>-0.7455</w:t>
            </w:r>
          </w:p>
        </w:tc>
        <w:tc>
          <w:tcPr>
            <w:tcW w:w="615" w:type="pct"/>
            <w:tcBorders>
              <w:top w:val="single" w:sz="4" w:space="0" w:color="auto"/>
              <w:left w:val="nil"/>
              <w:right w:val="nil"/>
            </w:tcBorders>
            <w:shd w:val="clear" w:color="auto" w:fill="auto"/>
            <w:noWrap/>
            <w:vAlign w:val="center"/>
            <w:hideMark/>
          </w:tcPr>
          <w:p w:rsidR="007E1778" w:rsidRPr="00392C84" w:rsidRDefault="007E1778" w:rsidP="00D53D90">
            <w:r w:rsidRPr="00392C84">
              <w:t>0.7173</w:t>
            </w:r>
          </w:p>
        </w:tc>
        <w:tc>
          <w:tcPr>
            <w:tcW w:w="613" w:type="pct"/>
            <w:tcBorders>
              <w:top w:val="single" w:sz="4" w:space="0" w:color="auto"/>
              <w:left w:val="nil"/>
              <w:right w:val="nil"/>
            </w:tcBorders>
            <w:shd w:val="clear" w:color="auto" w:fill="auto"/>
            <w:noWrap/>
            <w:vAlign w:val="center"/>
            <w:hideMark/>
          </w:tcPr>
          <w:p w:rsidR="007E1778" w:rsidRPr="00392C84" w:rsidRDefault="007E1778" w:rsidP="00D53D90">
            <w:r w:rsidRPr="00392C84">
              <w:t>0.0775</w:t>
            </w:r>
          </w:p>
        </w:tc>
      </w:tr>
      <w:tr w:rsidR="007E1778" w:rsidRPr="00392C84" w:rsidTr="00D53D90">
        <w:trPr>
          <w:trHeight w:val="358"/>
        </w:trPr>
        <w:tc>
          <w:tcPr>
            <w:tcW w:w="1004" w:type="pct"/>
            <w:vMerge/>
            <w:tcBorders>
              <w:left w:val="nil"/>
              <w:right w:val="nil"/>
            </w:tcBorders>
            <w:shd w:val="clear" w:color="auto" w:fill="auto"/>
            <w:noWrap/>
            <w:vAlign w:val="center"/>
            <w:hideMark/>
          </w:tcPr>
          <w:p w:rsidR="007E1778" w:rsidRPr="00392C84" w:rsidRDefault="007E1778" w:rsidP="00D53D90"/>
        </w:tc>
        <w:tc>
          <w:tcPr>
            <w:tcW w:w="776" w:type="pct"/>
            <w:vMerge/>
            <w:tcBorders>
              <w:left w:val="nil"/>
              <w:right w:val="nil"/>
            </w:tcBorders>
            <w:shd w:val="clear" w:color="auto" w:fill="auto"/>
            <w:noWrap/>
            <w:vAlign w:val="center"/>
            <w:hideMark/>
          </w:tcPr>
          <w:p w:rsidR="007E1778" w:rsidRPr="00392C84" w:rsidRDefault="007E1778" w:rsidP="00D53D90"/>
        </w:tc>
        <w:tc>
          <w:tcPr>
            <w:tcW w:w="615" w:type="pct"/>
            <w:tcBorders>
              <w:left w:val="nil"/>
              <w:right w:val="nil"/>
            </w:tcBorders>
            <w:shd w:val="clear" w:color="auto" w:fill="auto"/>
            <w:noWrap/>
            <w:vAlign w:val="center"/>
            <w:hideMark/>
          </w:tcPr>
          <w:p w:rsidR="007E1778" w:rsidRPr="00392C84" w:rsidRDefault="007E1778" w:rsidP="00D53D90">
            <w:r w:rsidRPr="00392C84">
              <w:t>(-0.48)</w:t>
            </w:r>
          </w:p>
        </w:tc>
        <w:tc>
          <w:tcPr>
            <w:tcW w:w="615" w:type="pct"/>
            <w:tcBorders>
              <w:left w:val="nil"/>
              <w:right w:val="nil"/>
            </w:tcBorders>
            <w:shd w:val="clear" w:color="auto" w:fill="auto"/>
            <w:noWrap/>
            <w:vAlign w:val="center"/>
            <w:hideMark/>
          </w:tcPr>
          <w:p w:rsidR="007E1778" w:rsidRPr="00392C84" w:rsidRDefault="007E1778" w:rsidP="00D53D90">
            <w:r w:rsidRPr="00392C84">
              <w:t>(0.03)</w:t>
            </w:r>
          </w:p>
        </w:tc>
        <w:tc>
          <w:tcPr>
            <w:tcW w:w="761" w:type="pct"/>
            <w:tcBorders>
              <w:left w:val="nil"/>
              <w:right w:val="nil"/>
            </w:tcBorders>
            <w:shd w:val="clear" w:color="auto" w:fill="auto"/>
            <w:noWrap/>
            <w:vAlign w:val="center"/>
            <w:hideMark/>
          </w:tcPr>
          <w:p w:rsidR="007E1778" w:rsidRPr="00392C84" w:rsidRDefault="007E1778" w:rsidP="00D53D90">
            <w:r w:rsidRPr="00392C84">
              <w:t>(-2.49)***</w:t>
            </w:r>
          </w:p>
        </w:tc>
        <w:tc>
          <w:tcPr>
            <w:tcW w:w="615" w:type="pct"/>
            <w:tcBorders>
              <w:left w:val="nil"/>
              <w:right w:val="nil"/>
            </w:tcBorders>
            <w:shd w:val="clear" w:color="auto" w:fill="auto"/>
            <w:noWrap/>
            <w:vAlign w:val="center"/>
            <w:hideMark/>
          </w:tcPr>
          <w:p w:rsidR="007E1778" w:rsidRPr="00392C84" w:rsidRDefault="007E1778" w:rsidP="00D53D90">
            <w:r w:rsidRPr="00392C84">
              <w:t>(1.68)*</w:t>
            </w:r>
          </w:p>
        </w:tc>
        <w:tc>
          <w:tcPr>
            <w:tcW w:w="613" w:type="pct"/>
            <w:tcBorders>
              <w:left w:val="nil"/>
              <w:right w:val="nil"/>
            </w:tcBorders>
            <w:shd w:val="clear" w:color="auto" w:fill="auto"/>
            <w:noWrap/>
            <w:vAlign w:val="center"/>
            <w:hideMark/>
          </w:tcPr>
          <w:p w:rsidR="007E1778" w:rsidRPr="00392C84" w:rsidRDefault="007E1778" w:rsidP="00D53D90">
            <w:r w:rsidRPr="00392C84">
              <w:t>(0.16)</w:t>
            </w:r>
          </w:p>
        </w:tc>
      </w:tr>
      <w:tr w:rsidR="007E1778" w:rsidRPr="00392C84" w:rsidTr="00D53D90">
        <w:trPr>
          <w:trHeight w:val="358"/>
        </w:trPr>
        <w:tc>
          <w:tcPr>
            <w:tcW w:w="1004" w:type="pct"/>
            <w:vMerge w:val="restart"/>
            <w:tcBorders>
              <w:left w:val="nil"/>
              <w:right w:val="nil"/>
            </w:tcBorders>
            <w:shd w:val="clear" w:color="auto" w:fill="auto"/>
            <w:noWrap/>
            <w:vAlign w:val="center"/>
            <w:hideMark/>
          </w:tcPr>
          <w:p w:rsidR="007E1778" w:rsidRPr="00392C84" w:rsidRDefault="007E1778" w:rsidP="00D53D90">
            <w:r w:rsidRPr="00392C84">
              <w:t>Selling</w:t>
            </w:r>
          </w:p>
          <w:p w:rsidR="007E1778" w:rsidRPr="00392C84" w:rsidRDefault="007E1778" w:rsidP="00D53D90">
            <w:r w:rsidRPr="00392C84">
              <w:t>(</w:t>
            </w:r>
            <w:proofErr w:type="spellStart"/>
            <w:r w:rsidRPr="00392C84">
              <w:t>decile</w:t>
            </w:r>
            <w:proofErr w:type="spellEnd"/>
            <w:r w:rsidRPr="00392C84">
              <w:t xml:space="preserve"> 1 &amp; 2)</w:t>
            </w:r>
          </w:p>
        </w:tc>
        <w:tc>
          <w:tcPr>
            <w:tcW w:w="776" w:type="pct"/>
            <w:vMerge w:val="restart"/>
            <w:tcBorders>
              <w:left w:val="nil"/>
              <w:right w:val="nil"/>
            </w:tcBorders>
            <w:shd w:val="clear" w:color="auto" w:fill="auto"/>
            <w:noWrap/>
            <w:vAlign w:val="center"/>
            <w:hideMark/>
          </w:tcPr>
          <w:p w:rsidR="007E1778" w:rsidRPr="00392C84" w:rsidRDefault="007E1778" w:rsidP="00D53D90">
            <w:r w:rsidRPr="00392C84">
              <w:t>Mean</w:t>
            </w:r>
          </w:p>
          <w:p w:rsidR="007E1778" w:rsidRPr="00392C84" w:rsidRDefault="007E1778" w:rsidP="00D53D90">
            <w:r w:rsidRPr="00392C84">
              <w:t>t-statistics</w:t>
            </w:r>
          </w:p>
        </w:tc>
        <w:tc>
          <w:tcPr>
            <w:tcW w:w="615" w:type="pct"/>
            <w:tcBorders>
              <w:left w:val="nil"/>
              <w:right w:val="nil"/>
            </w:tcBorders>
            <w:shd w:val="clear" w:color="auto" w:fill="auto"/>
            <w:noWrap/>
            <w:vAlign w:val="center"/>
            <w:hideMark/>
          </w:tcPr>
          <w:p w:rsidR="007E1778" w:rsidRPr="00392C84" w:rsidRDefault="007E1778" w:rsidP="00D53D90">
            <w:r w:rsidRPr="00392C84">
              <w:t>0.1390</w:t>
            </w:r>
          </w:p>
        </w:tc>
        <w:tc>
          <w:tcPr>
            <w:tcW w:w="615" w:type="pct"/>
            <w:tcBorders>
              <w:left w:val="nil"/>
              <w:right w:val="nil"/>
            </w:tcBorders>
            <w:shd w:val="clear" w:color="auto" w:fill="auto"/>
            <w:noWrap/>
            <w:vAlign w:val="center"/>
            <w:hideMark/>
          </w:tcPr>
          <w:p w:rsidR="007E1778" w:rsidRPr="00392C84" w:rsidRDefault="007E1778" w:rsidP="00D53D90">
            <w:r w:rsidRPr="00392C84">
              <w:t>0.0074</w:t>
            </w:r>
          </w:p>
        </w:tc>
        <w:tc>
          <w:tcPr>
            <w:tcW w:w="761" w:type="pct"/>
            <w:tcBorders>
              <w:left w:val="nil"/>
              <w:right w:val="nil"/>
            </w:tcBorders>
            <w:shd w:val="clear" w:color="auto" w:fill="auto"/>
            <w:noWrap/>
            <w:vAlign w:val="center"/>
            <w:hideMark/>
          </w:tcPr>
          <w:p w:rsidR="007E1778" w:rsidRPr="00392C84" w:rsidRDefault="007E1778" w:rsidP="00D53D90">
            <w:r w:rsidRPr="00392C84">
              <w:t>-0.7724</w:t>
            </w:r>
          </w:p>
        </w:tc>
        <w:tc>
          <w:tcPr>
            <w:tcW w:w="615" w:type="pct"/>
            <w:tcBorders>
              <w:left w:val="nil"/>
              <w:right w:val="nil"/>
            </w:tcBorders>
            <w:shd w:val="clear" w:color="auto" w:fill="auto"/>
            <w:noWrap/>
            <w:vAlign w:val="center"/>
            <w:hideMark/>
          </w:tcPr>
          <w:p w:rsidR="007E1778" w:rsidRPr="00392C84" w:rsidRDefault="007E1778" w:rsidP="00D53D90">
            <w:r w:rsidRPr="00392C84">
              <w:t>0.5409</w:t>
            </w:r>
          </w:p>
        </w:tc>
        <w:tc>
          <w:tcPr>
            <w:tcW w:w="613" w:type="pct"/>
            <w:tcBorders>
              <w:left w:val="nil"/>
              <w:right w:val="nil"/>
            </w:tcBorders>
            <w:shd w:val="clear" w:color="auto" w:fill="auto"/>
            <w:noWrap/>
            <w:vAlign w:val="center"/>
            <w:hideMark/>
          </w:tcPr>
          <w:p w:rsidR="007E1778" w:rsidRPr="00392C84" w:rsidRDefault="007E1778" w:rsidP="00D53D90">
            <w:r w:rsidRPr="00392C84">
              <w:t>0.2745</w:t>
            </w:r>
          </w:p>
        </w:tc>
      </w:tr>
      <w:tr w:rsidR="007E1778" w:rsidRPr="00392C84" w:rsidTr="00D53D90">
        <w:trPr>
          <w:trHeight w:val="358"/>
        </w:trPr>
        <w:tc>
          <w:tcPr>
            <w:tcW w:w="1004" w:type="pct"/>
            <w:vMerge/>
            <w:tcBorders>
              <w:left w:val="nil"/>
              <w:right w:val="nil"/>
            </w:tcBorders>
            <w:shd w:val="clear" w:color="auto" w:fill="auto"/>
            <w:noWrap/>
            <w:vAlign w:val="center"/>
            <w:hideMark/>
          </w:tcPr>
          <w:p w:rsidR="007E1778" w:rsidRPr="00392C84" w:rsidRDefault="007E1778" w:rsidP="00D53D90"/>
        </w:tc>
        <w:tc>
          <w:tcPr>
            <w:tcW w:w="776" w:type="pct"/>
            <w:vMerge/>
            <w:tcBorders>
              <w:left w:val="nil"/>
              <w:right w:val="nil"/>
            </w:tcBorders>
            <w:shd w:val="clear" w:color="auto" w:fill="auto"/>
            <w:noWrap/>
            <w:vAlign w:val="center"/>
            <w:hideMark/>
          </w:tcPr>
          <w:p w:rsidR="007E1778" w:rsidRPr="00392C84" w:rsidRDefault="007E1778" w:rsidP="00D53D90"/>
        </w:tc>
        <w:tc>
          <w:tcPr>
            <w:tcW w:w="615" w:type="pct"/>
            <w:tcBorders>
              <w:left w:val="nil"/>
              <w:right w:val="nil"/>
            </w:tcBorders>
            <w:shd w:val="clear" w:color="auto" w:fill="auto"/>
            <w:noWrap/>
            <w:vAlign w:val="center"/>
            <w:hideMark/>
          </w:tcPr>
          <w:p w:rsidR="007E1778" w:rsidRPr="00392C84" w:rsidRDefault="007E1778" w:rsidP="00D53D90">
            <w:r w:rsidRPr="00392C84">
              <w:t>(0.29)</w:t>
            </w:r>
          </w:p>
        </w:tc>
        <w:tc>
          <w:tcPr>
            <w:tcW w:w="615" w:type="pct"/>
            <w:tcBorders>
              <w:left w:val="nil"/>
              <w:right w:val="nil"/>
            </w:tcBorders>
            <w:shd w:val="clear" w:color="auto" w:fill="auto"/>
            <w:noWrap/>
            <w:vAlign w:val="center"/>
            <w:hideMark/>
          </w:tcPr>
          <w:p w:rsidR="007E1778" w:rsidRPr="00392C84" w:rsidRDefault="007E1778" w:rsidP="00D53D90">
            <w:r w:rsidRPr="00392C84">
              <w:t>(0.02)</w:t>
            </w:r>
          </w:p>
        </w:tc>
        <w:tc>
          <w:tcPr>
            <w:tcW w:w="761" w:type="pct"/>
            <w:tcBorders>
              <w:left w:val="nil"/>
              <w:right w:val="nil"/>
            </w:tcBorders>
            <w:shd w:val="clear" w:color="auto" w:fill="auto"/>
            <w:noWrap/>
            <w:vAlign w:val="center"/>
            <w:hideMark/>
          </w:tcPr>
          <w:p w:rsidR="007E1778" w:rsidRPr="00392C84" w:rsidRDefault="007E1778" w:rsidP="00D53D90">
            <w:r w:rsidRPr="00392C84">
              <w:t>(-3.28)***</w:t>
            </w:r>
          </w:p>
        </w:tc>
        <w:tc>
          <w:tcPr>
            <w:tcW w:w="615" w:type="pct"/>
            <w:tcBorders>
              <w:left w:val="nil"/>
              <w:right w:val="nil"/>
            </w:tcBorders>
            <w:shd w:val="clear" w:color="auto" w:fill="auto"/>
            <w:noWrap/>
            <w:vAlign w:val="center"/>
            <w:hideMark/>
          </w:tcPr>
          <w:p w:rsidR="007E1778" w:rsidRPr="00392C84" w:rsidRDefault="007E1778" w:rsidP="00D53D90">
            <w:r w:rsidRPr="00392C84">
              <w:t>(1.86)*</w:t>
            </w:r>
          </w:p>
        </w:tc>
        <w:tc>
          <w:tcPr>
            <w:tcW w:w="613" w:type="pct"/>
            <w:tcBorders>
              <w:left w:val="nil"/>
              <w:right w:val="nil"/>
            </w:tcBorders>
            <w:shd w:val="clear" w:color="auto" w:fill="auto"/>
            <w:noWrap/>
            <w:vAlign w:val="center"/>
            <w:hideMark/>
          </w:tcPr>
          <w:p w:rsidR="007E1778" w:rsidRPr="00392C84" w:rsidRDefault="007E1778" w:rsidP="00D53D90">
            <w:r w:rsidRPr="00392C84">
              <w:t>(0.69)</w:t>
            </w:r>
          </w:p>
        </w:tc>
      </w:tr>
      <w:tr w:rsidR="007E1778" w:rsidRPr="00392C84" w:rsidTr="00D53D90">
        <w:trPr>
          <w:trHeight w:val="358"/>
        </w:trPr>
        <w:tc>
          <w:tcPr>
            <w:tcW w:w="1004" w:type="pct"/>
            <w:vMerge w:val="restart"/>
            <w:tcBorders>
              <w:top w:val="nil"/>
              <w:left w:val="nil"/>
              <w:right w:val="nil"/>
            </w:tcBorders>
            <w:shd w:val="clear" w:color="auto" w:fill="auto"/>
            <w:noWrap/>
            <w:vAlign w:val="center"/>
            <w:hideMark/>
          </w:tcPr>
          <w:p w:rsidR="007E1778" w:rsidRPr="00392C84" w:rsidRDefault="007E1778" w:rsidP="00D53D90">
            <w:r w:rsidRPr="00392C84">
              <w:t>Buying</w:t>
            </w:r>
          </w:p>
          <w:p w:rsidR="007E1778" w:rsidRPr="00392C84" w:rsidRDefault="007E1778" w:rsidP="00D53D90">
            <w:r w:rsidRPr="00392C84">
              <w:t>(</w:t>
            </w:r>
            <w:proofErr w:type="spellStart"/>
            <w:r w:rsidRPr="00392C84">
              <w:t>decile</w:t>
            </w:r>
            <w:proofErr w:type="spellEnd"/>
            <w:r w:rsidRPr="00392C84">
              <w:t xml:space="preserve"> 9 &amp; 10)</w:t>
            </w:r>
          </w:p>
        </w:tc>
        <w:tc>
          <w:tcPr>
            <w:tcW w:w="776" w:type="pct"/>
            <w:vMerge w:val="restart"/>
            <w:tcBorders>
              <w:top w:val="nil"/>
              <w:left w:val="nil"/>
              <w:right w:val="nil"/>
            </w:tcBorders>
            <w:shd w:val="clear" w:color="auto" w:fill="auto"/>
            <w:noWrap/>
            <w:vAlign w:val="center"/>
            <w:hideMark/>
          </w:tcPr>
          <w:p w:rsidR="007E1778" w:rsidRPr="00392C84" w:rsidRDefault="007E1778" w:rsidP="00D53D90">
            <w:r w:rsidRPr="00392C84">
              <w:t>Mean</w:t>
            </w:r>
          </w:p>
          <w:p w:rsidR="007E1778" w:rsidRPr="00392C84" w:rsidRDefault="007E1778" w:rsidP="00D53D90">
            <w:r w:rsidRPr="00392C84">
              <w:t>t-statistics</w:t>
            </w:r>
          </w:p>
        </w:tc>
        <w:tc>
          <w:tcPr>
            <w:tcW w:w="615" w:type="pct"/>
            <w:tcBorders>
              <w:top w:val="nil"/>
              <w:left w:val="nil"/>
              <w:right w:val="nil"/>
            </w:tcBorders>
            <w:shd w:val="clear" w:color="auto" w:fill="auto"/>
            <w:noWrap/>
            <w:vAlign w:val="center"/>
            <w:hideMark/>
          </w:tcPr>
          <w:p w:rsidR="007E1778" w:rsidRPr="00392C84" w:rsidRDefault="007E1778" w:rsidP="00D53D90">
            <w:r w:rsidRPr="00392C84">
              <w:t>0.0093</w:t>
            </w:r>
          </w:p>
        </w:tc>
        <w:tc>
          <w:tcPr>
            <w:tcW w:w="615" w:type="pct"/>
            <w:tcBorders>
              <w:top w:val="nil"/>
              <w:left w:val="nil"/>
              <w:right w:val="nil"/>
            </w:tcBorders>
            <w:shd w:val="clear" w:color="auto" w:fill="auto"/>
            <w:noWrap/>
            <w:vAlign w:val="center"/>
            <w:hideMark/>
          </w:tcPr>
          <w:p w:rsidR="007E1778" w:rsidRPr="00392C84" w:rsidRDefault="007E1778" w:rsidP="00D53D90">
            <w:r w:rsidRPr="00392C84">
              <w:t>-0.2503</w:t>
            </w:r>
          </w:p>
        </w:tc>
        <w:tc>
          <w:tcPr>
            <w:tcW w:w="761" w:type="pct"/>
            <w:tcBorders>
              <w:top w:val="nil"/>
              <w:left w:val="nil"/>
              <w:right w:val="nil"/>
            </w:tcBorders>
            <w:shd w:val="clear" w:color="auto" w:fill="auto"/>
            <w:noWrap/>
            <w:vAlign w:val="center"/>
            <w:hideMark/>
          </w:tcPr>
          <w:p w:rsidR="007E1778" w:rsidRPr="00392C84" w:rsidRDefault="007E1778" w:rsidP="00D53D90">
            <w:r w:rsidRPr="00392C84">
              <w:t>1.0135</w:t>
            </w:r>
          </w:p>
        </w:tc>
        <w:tc>
          <w:tcPr>
            <w:tcW w:w="615" w:type="pct"/>
            <w:tcBorders>
              <w:top w:val="nil"/>
              <w:left w:val="nil"/>
              <w:right w:val="nil"/>
            </w:tcBorders>
            <w:shd w:val="clear" w:color="auto" w:fill="auto"/>
            <w:noWrap/>
            <w:vAlign w:val="center"/>
            <w:hideMark/>
          </w:tcPr>
          <w:p w:rsidR="007E1778" w:rsidRPr="00392C84" w:rsidRDefault="007E1778" w:rsidP="00D53D90">
            <w:r w:rsidRPr="00392C84">
              <w:t>-0.0884</w:t>
            </w:r>
          </w:p>
        </w:tc>
        <w:tc>
          <w:tcPr>
            <w:tcW w:w="613" w:type="pct"/>
            <w:tcBorders>
              <w:top w:val="nil"/>
              <w:left w:val="nil"/>
              <w:right w:val="nil"/>
            </w:tcBorders>
            <w:shd w:val="clear" w:color="auto" w:fill="auto"/>
            <w:noWrap/>
            <w:vAlign w:val="center"/>
            <w:hideMark/>
          </w:tcPr>
          <w:p w:rsidR="007E1778" w:rsidRPr="00392C84" w:rsidRDefault="007E1778" w:rsidP="00D53D90">
            <w:r w:rsidRPr="00392C84">
              <w:t>-0.0248</w:t>
            </w:r>
          </w:p>
        </w:tc>
      </w:tr>
      <w:tr w:rsidR="007E1778" w:rsidRPr="00392C84" w:rsidTr="00D53D90">
        <w:trPr>
          <w:trHeight w:val="358"/>
        </w:trPr>
        <w:tc>
          <w:tcPr>
            <w:tcW w:w="1004" w:type="pct"/>
            <w:vMerge/>
            <w:tcBorders>
              <w:left w:val="nil"/>
              <w:right w:val="nil"/>
            </w:tcBorders>
            <w:shd w:val="clear" w:color="auto" w:fill="auto"/>
            <w:noWrap/>
            <w:vAlign w:val="center"/>
            <w:hideMark/>
          </w:tcPr>
          <w:p w:rsidR="007E1778" w:rsidRPr="00392C84" w:rsidRDefault="007E1778" w:rsidP="00D53D90"/>
        </w:tc>
        <w:tc>
          <w:tcPr>
            <w:tcW w:w="776" w:type="pct"/>
            <w:vMerge/>
            <w:tcBorders>
              <w:left w:val="nil"/>
              <w:right w:val="nil"/>
            </w:tcBorders>
            <w:shd w:val="clear" w:color="auto" w:fill="auto"/>
            <w:noWrap/>
            <w:vAlign w:val="center"/>
            <w:hideMark/>
          </w:tcPr>
          <w:p w:rsidR="007E1778" w:rsidRPr="00392C84" w:rsidRDefault="007E1778" w:rsidP="00D53D90"/>
        </w:tc>
        <w:tc>
          <w:tcPr>
            <w:tcW w:w="615" w:type="pct"/>
            <w:tcBorders>
              <w:top w:val="nil"/>
              <w:left w:val="nil"/>
              <w:right w:val="nil"/>
            </w:tcBorders>
            <w:shd w:val="clear" w:color="auto" w:fill="auto"/>
            <w:noWrap/>
            <w:vAlign w:val="center"/>
            <w:hideMark/>
          </w:tcPr>
          <w:p w:rsidR="007E1778" w:rsidRPr="00392C84" w:rsidRDefault="007E1778" w:rsidP="00D53D90">
            <w:r w:rsidRPr="00392C84">
              <w:t>(0.02)</w:t>
            </w:r>
          </w:p>
        </w:tc>
        <w:tc>
          <w:tcPr>
            <w:tcW w:w="615" w:type="pct"/>
            <w:tcBorders>
              <w:top w:val="nil"/>
              <w:left w:val="nil"/>
              <w:right w:val="nil"/>
            </w:tcBorders>
            <w:shd w:val="clear" w:color="auto" w:fill="auto"/>
            <w:noWrap/>
            <w:vAlign w:val="center"/>
            <w:hideMark/>
          </w:tcPr>
          <w:p w:rsidR="007E1778" w:rsidRPr="00392C84" w:rsidRDefault="007E1778" w:rsidP="00D53D90">
            <w:r w:rsidRPr="00392C84">
              <w:t>(-0.83)</w:t>
            </w:r>
          </w:p>
        </w:tc>
        <w:tc>
          <w:tcPr>
            <w:tcW w:w="761" w:type="pct"/>
            <w:tcBorders>
              <w:top w:val="nil"/>
              <w:left w:val="nil"/>
              <w:right w:val="nil"/>
            </w:tcBorders>
            <w:shd w:val="clear" w:color="auto" w:fill="auto"/>
            <w:noWrap/>
            <w:vAlign w:val="center"/>
            <w:hideMark/>
          </w:tcPr>
          <w:p w:rsidR="007E1778" w:rsidRPr="00392C84" w:rsidRDefault="007E1778" w:rsidP="00D53D90">
            <w:r w:rsidRPr="00392C84">
              <w:t>(2.57)***</w:t>
            </w:r>
          </w:p>
        </w:tc>
        <w:tc>
          <w:tcPr>
            <w:tcW w:w="615" w:type="pct"/>
            <w:tcBorders>
              <w:top w:val="nil"/>
              <w:left w:val="nil"/>
              <w:right w:val="nil"/>
            </w:tcBorders>
            <w:shd w:val="clear" w:color="auto" w:fill="auto"/>
            <w:noWrap/>
            <w:vAlign w:val="center"/>
            <w:hideMark/>
          </w:tcPr>
          <w:p w:rsidR="007E1778" w:rsidRPr="00392C84" w:rsidRDefault="007E1778" w:rsidP="00D53D90">
            <w:r w:rsidRPr="00392C84">
              <w:t>(-0.25)</w:t>
            </w:r>
          </w:p>
        </w:tc>
        <w:tc>
          <w:tcPr>
            <w:tcW w:w="613" w:type="pct"/>
            <w:tcBorders>
              <w:top w:val="nil"/>
              <w:left w:val="nil"/>
              <w:right w:val="nil"/>
            </w:tcBorders>
            <w:shd w:val="clear" w:color="auto" w:fill="auto"/>
            <w:noWrap/>
            <w:vAlign w:val="center"/>
            <w:hideMark/>
          </w:tcPr>
          <w:p w:rsidR="007E1778" w:rsidRPr="00392C84" w:rsidRDefault="007E1778" w:rsidP="00D53D90">
            <w:r w:rsidRPr="00392C84">
              <w:t>(-0.05)</w:t>
            </w:r>
          </w:p>
        </w:tc>
      </w:tr>
      <w:tr w:rsidR="007E1778" w:rsidRPr="00392C84" w:rsidTr="00D53D90">
        <w:trPr>
          <w:trHeight w:val="358"/>
        </w:trPr>
        <w:tc>
          <w:tcPr>
            <w:tcW w:w="1004" w:type="pct"/>
            <w:vMerge w:val="restart"/>
            <w:tcBorders>
              <w:top w:val="nil"/>
              <w:left w:val="nil"/>
              <w:right w:val="nil"/>
            </w:tcBorders>
            <w:shd w:val="clear" w:color="auto" w:fill="auto"/>
            <w:noWrap/>
            <w:vAlign w:val="center"/>
            <w:hideMark/>
          </w:tcPr>
          <w:p w:rsidR="007E1778" w:rsidRPr="00392C84" w:rsidRDefault="007E1778" w:rsidP="00D53D90">
            <w:r w:rsidRPr="00392C84">
              <w:t>Intense Buying</w:t>
            </w:r>
          </w:p>
          <w:p w:rsidR="007E1778" w:rsidRPr="00392C84" w:rsidRDefault="007E1778" w:rsidP="00D53D90">
            <w:r w:rsidRPr="00392C84">
              <w:t>(</w:t>
            </w:r>
            <w:proofErr w:type="spellStart"/>
            <w:r w:rsidRPr="00392C84">
              <w:t>decile</w:t>
            </w:r>
            <w:proofErr w:type="spellEnd"/>
            <w:r w:rsidRPr="00392C84">
              <w:t xml:space="preserve"> 10)</w:t>
            </w:r>
          </w:p>
        </w:tc>
        <w:tc>
          <w:tcPr>
            <w:tcW w:w="776" w:type="pct"/>
            <w:vMerge w:val="restart"/>
            <w:tcBorders>
              <w:top w:val="nil"/>
              <w:left w:val="nil"/>
              <w:right w:val="nil"/>
            </w:tcBorders>
            <w:shd w:val="clear" w:color="auto" w:fill="auto"/>
            <w:noWrap/>
            <w:vAlign w:val="center"/>
            <w:hideMark/>
          </w:tcPr>
          <w:p w:rsidR="007E1778" w:rsidRPr="00392C84" w:rsidRDefault="007E1778" w:rsidP="00D53D90">
            <w:r w:rsidRPr="00392C84">
              <w:t>Mean</w:t>
            </w:r>
          </w:p>
          <w:p w:rsidR="007E1778" w:rsidRPr="00392C84" w:rsidRDefault="007E1778" w:rsidP="00D53D90">
            <w:r w:rsidRPr="00392C84">
              <w:t>t-statistics</w:t>
            </w:r>
          </w:p>
        </w:tc>
        <w:tc>
          <w:tcPr>
            <w:tcW w:w="615" w:type="pct"/>
            <w:tcBorders>
              <w:top w:val="nil"/>
              <w:left w:val="nil"/>
              <w:bottom w:val="nil"/>
              <w:right w:val="nil"/>
            </w:tcBorders>
            <w:shd w:val="clear" w:color="auto" w:fill="auto"/>
            <w:noWrap/>
            <w:vAlign w:val="center"/>
            <w:hideMark/>
          </w:tcPr>
          <w:p w:rsidR="007E1778" w:rsidRPr="00392C84" w:rsidRDefault="007E1778" w:rsidP="00D53D90">
            <w:r w:rsidRPr="00392C84">
              <w:t>0.2065</w:t>
            </w:r>
          </w:p>
        </w:tc>
        <w:tc>
          <w:tcPr>
            <w:tcW w:w="615" w:type="pct"/>
            <w:tcBorders>
              <w:top w:val="nil"/>
              <w:left w:val="nil"/>
              <w:bottom w:val="nil"/>
              <w:right w:val="nil"/>
            </w:tcBorders>
            <w:shd w:val="clear" w:color="auto" w:fill="auto"/>
            <w:noWrap/>
            <w:vAlign w:val="center"/>
            <w:hideMark/>
          </w:tcPr>
          <w:p w:rsidR="007E1778" w:rsidRPr="00392C84" w:rsidRDefault="007E1778" w:rsidP="00D53D90">
            <w:r w:rsidRPr="00392C84">
              <w:t>-0.0660</w:t>
            </w:r>
          </w:p>
        </w:tc>
        <w:tc>
          <w:tcPr>
            <w:tcW w:w="761" w:type="pct"/>
            <w:tcBorders>
              <w:top w:val="nil"/>
              <w:left w:val="nil"/>
              <w:bottom w:val="nil"/>
              <w:right w:val="nil"/>
            </w:tcBorders>
            <w:shd w:val="clear" w:color="auto" w:fill="auto"/>
            <w:noWrap/>
            <w:vAlign w:val="center"/>
            <w:hideMark/>
          </w:tcPr>
          <w:p w:rsidR="007E1778" w:rsidRPr="00392C84" w:rsidRDefault="007E1778" w:rsidP="00D53D90">
            <w:r w:rsidRPr="00392C84">
              <w:t>0.1720</w:t>
            </w:r>
          </w:p>
        </w:tc>
        <w:tc>
          <w:tcPr>
            <w:tcW w:w="615" w:type="pct"/>
            <w:tcBorders>
              <w:top w:val="nil"/>
              <w:left w:val="nil"/>
              <w:bottom w:val="nil"/>
              <w:right w:val="nil"/>
            </w:tcBorders>
            <w:shd w:val="clear" w:color="auto" w:fill="auto"/>
            <w:noWrap/>
            <w:vAlign w:val="center"/>
            <w:hideMark/>
          </w:tcPr>
          <w:p w:rsidR="007E1778" w:rsidRPr="00392C84" w:rsidRDefault="007E1778" w:rsidP="00D53D90">
            <w:r w:rsidRPr="00392C84">
              <w:t>-0.4633</w:t>
            </w:r>
          </w:p>
        </w:tc>
        <w:tc>
          <w:tcPr>
            <w:tcW w:w="613" w:type="pct"/>
            <w:tcBorders>
              <w:top w:val="nil"/>
              <w:left w:val="nil"/>
              <w:bottom w:val="nil"/>
              <w:right w:val="nil"/>
            </w:tcBorders>
            <w:shd w:val="clear" w:color="auto" w:fill="auto"/>
            <w:noWrap/>
            <w:vAlign w:val="center"/>
            <w:hideMark/>
          </w:tcPr>
          <w:p w:rsidR="007E1778" w:rsidRPr="00392C84" w:rsidRDefault="007E1778" w:rsidP="00D53D90">
            <w:r w:rsidRPr="00392C84">
              <w:t>-0.2588</w:t>
            </w:r>
          </w:p>
        </w:tc>
      </w:tr>
      <w:tr w:rsidR="007E1778" w:rsidRPr="00392C84" w:rsidTr="00D53D90">
        <w:trPr>
          <w:trHeight w:val="358"/>
        </w:trPr>
        <w:tc>
          <w:tcPr>
            <w:tcW w:w="1004" w:type="pct"/>
            <w:vMerge/>
            <w:tcBorders>
              <w:left w:val="nil"/>
              <w:bottom w:val="single" w:sz="4" w:space="0" w:color="auto"/>
              <w:right w:val="nil"/>
            </w:tcBorders>
            <w:shd w:val="clear" w:color="auto" w:fill="auto"/>
            <w:noWrap/>
            <w:vAlign w:val="center"/>
            <w:hideMark/>
          </w:tcPr>
          <w:p w:rsidR="007E1778" w:rsidRPr="00392C84" w:rsidRDefault="007E1778" w:rsidP="00D53D90"/>
        </w:tc>
        <w:tc>
          <w:tcPr>
            <w:tcW w:w="776" w:type="pct"/>
            <w:vMerge/>
            <w:tcBorders>
              <w:left w:val="nil"/>
              <w:bottom w:val="single" w:sz="4" w:space="0" w:color="auto"/>
              <w:right w:val="nil"/>
            </w:tcBorders>
            <w:shd w:val="clear" w:color="auto" w:fill="auto"/>
            <w:noWrap/>
            <w:vAlign w:val="center"/>
            <w:hideMark/>
          </w:tcPr>
          <w:p w:rsidR="007E1778" w:rsidRPr="00392C84" w:rsidRDefault="007E1778" w:rsidP="00D53D90"/>
        </w:tc>
        <w:tc>
          <w:tcPr>
            <w:tcW w:w="615" w:type="pct"/>
            <w:tcBorders>
              <w:top w:val="nil"/>
              <w:left w:val="nil"/>
              <w:bottom w:val="single" w:sz="4" w:space="0" w:color="auto"/>
              <w:right w:val="nil"/>
            </w:tcBorders>
            <w:shd w:val="clear" w:color="auto" w:fill="auto"/>
            <w:noWrap/>
            <w:vAlign w:val="center"/>
            <w:hideMark/>
          </w:tcPr>
          <w:p w:rsidR="007E1778" w:rsidRPr="00392C84" w:rsidRDefault="007E1778" w:rsidP="00D53D90">
            <w:r w:rsidRPr="00392C84">
              <w:t>(0.29)</w:t>
            </w:r>
          </w:p>
        </w:tc>
        <w:tc>
          <w:tcPr>
            <w:tcW w:w="615" w:type="pct"/>
            <w:tcBorders>
              <w:top w:val="nil"/>
              <w:left w:val="nil"/>
              <w:bottom w:val="single" w:sz="4" w:space="0" w:color="auto"/>
              <w:right w:val="nil"/>
            </w:tcBorders>
            <w:shd w:val="clear" w:color="auto" w:fill="auto"/>
            <w:noWrap/>
            <w:vAlign w:val="center"/>
            <w:hideMark/>
          </w:tcPr>
          <w:p w:rsidR="007E1778" w:rsidRPr="00392C84" w:rsidRDefault="007E1778" w:rsidP="00D53D90">
            <w:r w:rsidRPr="00392C84">
              <w:t>(-0.13)</w:t>
            </w:r>
          </w:p>
        </w:tc>
        <w:tc>
          <w:tcPr>
            <w:tcW w:w="761" w:type="pct"/>
            <w:tcBorders>
              <w:top w:val="nil"/>
              <w:left w:val="nil"/>
              <w:bottom w:val="single" w:sz="4" w:space="0" w:color="auto"/>
              <w:right w:val="nil"/>
            </w:tcBorders>
            <w:shd w:val="clear" w:color="auto" w:fill="auto"/>
            <w:noWrap/>
            <w:vAlign w:val="center"/>
            <w:hideMark/>
          </w:tcPr>
          <w:p w:rsidR="007E1778" w:rsidRPr="00392C84" w:rsidRDefault="007E1778" w:rsidP="00D53D90">
            <w:r w:rsidRPr="00392C84">
              <w:t>(0.43)</w:t>
            </w:r>
          </w:p>
        </w:tc>
        <w:tc>
          <w:tcPr>
            <w:tcW w:w="615" w:type="pct"/>
            <w:tcBorders>
              <w:top w:val="nil"/>
              <w:left w:val="nil"/>
              <w:bottom w:val="single" w:sz="4" w:space="0" w:color="auto"/>
              <w:right w:val="nil"/>
            </w:tcBorders>
            <w:shd w:val="clear" w:color="auto" w:fill="auto"/>
            <w:noWrap/>
            <w:vAlign w:val="center"/>
            <w:hideMark/>
          </w:tcPr>
          <w:p w:rsidR="007E1778" w:rsidRPr="00392C84" w:rsidRDefault="007E1778" w:rsidP="00D53D90">
            <w:r w:rsidRPr="00392C84">
              <w:t>(-0.91)</w:t>
            </w:r>
          </w:p>
        </w:tc>
        <w:tc>
          <w:tcPr>
            <w:tcW w:w="613" w:type="pct"/>
            <w:tcBorders>
              <w:top w:val="nil"/>
              <w:left w:val="nil"/>
              <w:bottom w:val="single" w:sz="4" w:space="0" w:color="auto"/>
              <w:right w:val="nil"/>
            </w:tcBorders>
            <w:shd w:val="clear" w:color="auto" w:fill="auto"/>
            <w:noWrap/>
            <w:vAlign w:val="center"/>
            <w:hideMark/>
          </w:tcPr>
          <w:p w:rsidR="007E1778" w:rsidRPr="00392C84" w:rsidRDefault="007E1778" w:rsidP="00D53D90">
            <w:r w:rsidRPr="00392C84">
              <w:t>(-0.36)</w:t>
            </w:r>
          </w:p>
        </w:tc>
      </w:tr>
    </w:tbl>
    <w:p w:rsidR="007E1778" w:rsidRDefault="007E1778" w:rsidP="007E1778"/>
    <w:p w:rsidR="009B56D6" w:rsidRDefault="009B56D6" w:rsidP="009B56D6">
      <w:pPr>
        <w:spacing w:line="276" w:lineRule="auto"/>
      </w:pPr>
    </w:p>
    <w:p w:rsidR="00D53D90" w:rsidRDefault="0034490A" w:rsidP="00D53D90">
      <w:pPr>
        <w:spacing w:line="276" w:lineRule="auto"/>
        <w:ind w:firstLineChars="100" w:firstLine="200"/>
      </w:pPr>
      <w:r>
        <w:rPr>
          <w:rFonts w:hint="eastAsia"/>
        </w:rPr>
        <w:t>그러나 &lt;표 8: Panel B&gt;</w:t>
      </w:r>
      <w:r w:rsidR="000E220E">
        <w:rPr>
          <w:rFonts w:hint="eastAsia"/>
        </w:rPr>
        <w:t>와 &lt;표 9: Panel B&gt;</w:t>
      </w:r>
      <w:r>
        <w:rPr>
          <w:rFonts w:hint="eastAsia"/>
        </w:rPr>
        <w:t xml:space="preserve">에 나타난 국내 기관투자자 중 투자회사에 대한 결과는 증권회사와 상반된다. </w:t>
      </w:r>
      <w:r w:rsidR="00267CDB">
        <w:rPr>
          <w:rFonts w:hint="eastAsia"/>
        </w:rPr>
        <w:t>&lt;표 8: Panel B&gt;</w:t>
      </w:r>
      <w:r w:rsidR="00267CDB">
        <w:t>의</w:t>
      </w:r>
      <w:r w:rsidR="00267CDB">
        <w:rPr>
          <w:rFonts w:hint="eastAsia"/>
        </w:rPr>
        <w:t xml:space="preserve"> 모형 2-5의 결과를 보면, </w:t>
      </w:r>
      <w:r w:rsidR="009B56D6" w:rsidRPr="00290146">
        <w:t xml:space="preserve">투자회사의 거래강도는 변동성 </w:t>
      </w:r>
      <w:r w:rsidR="00267CDB">
        <w:t>변화</w:t>
      </w:r>
      <w:r w:rsidR="00267CDB">
        <w:rPr>
          <w:rFonts w:hint="eastAsia"/>
        </w:rPr>
        <w:t>와</w:t>
      </w:r>
      <w:r w:rsidR="009B56D6" w:rsidRPr="00290146">
        <w:t xml:space="preserve"> 유의한 </w:t>
      </w:r>
      <w:r w:rsidR="00267CDB">
        <w:rPr>
          <w:rFonts w:hint="eastAsia"/>
        </w:rPr>
        <w:t xml:space="preserve">관련성을 가지고 있다. </w:t>
      </w:r>
      <w:r w:rsidR="009B56D6" w:rsidRPr="00290146">
        <w:t xml:space="preserve">값은 1%의 신뢰수준 하에서 유의하였으며, 조정결정계수(adjusted R-squared)도 0.9074에서 0.9084로 소폭 상승하였다. 내재변동성을 차분한 모형 3에서도 투자회사의 거래강도는 여전히 유의성을 잃지 않았다. 모형 2와 3의 계수는 모두 양의 값을 가졌으며, 이는 투자회사의 매도성향이 클수록 </w:t>
      </w:r>
      <w:r w:rsidR="00267CDB">
        <w:t>내재변동성</w:t>
      </w:r>
      <w:r w:rsidR="00267CDB">
        <w:rPr>
          <w:rFonts w:hint="eastAsia"/>
        </w:rPr>
        <w:t>은</w:t>
      </w:r>
      <w:r w:rsidR="009B56D6" w:rsidRPr="00290146">
        <w:t xml:space="preserve"> 하락하고, 매수성향이 클수록 내재변동성이 상승한다는 것을 의미한다. </w:t>
      </w:r>
      <w:r w:rsidR="00267CDB">
        <w:rPr>
          <w:rFonts w:hint="eastAsia"/>
        </w:rPr>
        <w:t xml:space="preserve">투자회사의 매수와 매도에 대한 </w:t>
      </w:r>
      <w:proofErr w:type="spellStart"/>
      <w:r w:rsidR="00267CDB">
        <w:rPr>
          <w:rFonts w:hint="eastAsia"/>
        </w:rPr>
        <w:t>비대칭성을</w:t>
      </w:r>
      <w:proofErr w:type="spellEnd"/>
      <w:r w:rsidR="00267CDB">
        <w:rPr>
          <w:rFonts w:hint="eastAsia"/>
        </w:rPr>
        <w:t xml:space="preserve"> 살펴볼 수 있는 </w:t>
      </w:r>
      <w:proofErr w:type="spellStart"/>
      <w:r w:rsidR="00267CDB">
        <w:rPr>
          <w:rFonts w:hint="eastAsia"/>
        </w:rPr>
        <w:t>Decile</w:t>
      </w:r>
      <w:proofErr w:type="spellEnd"/>
      <w:r w:rsidR="00267CDB">
        <w:rPr>
          <w:rFonts w:hint="eastAsia"/>
        </w:rPr>
        <w:t xml:space="preserve"> 분석결과가 기록된 &lt;표 9: Panel B&gt;의 K=0 시점을 보면, </w:t>
      </w:r>
      <w:r w:rsidR="00267CDB" w:rsidRPr="00290146">
        <w:t>매도강도가 강했던 기간(</w:t>
      </w:r>
      <w:proofErr w:type="spellStart"/>
      <w:r w:rsidR="00267CDB" w:rsidRPr="00290146">
        <w:t>decile</w:t>
      </w:r>
      <w:proofErr w:type="spellEnd"/>
      <w:r w:rsidR="00267CDB" w:rsidRPr="00290146">
        <w:t xml:space="preserve"> 1, 1&amp;2)과 매수강도가 강했던 기간(</w:t>
      </w:r>
      <w:proofErr w:type="spellStart"/>
      <w:r w:rsidR="00267CDB" w:rsidRPr="00290146">
        <w:t>decile</w:t>
      </w:r>
      <w:proofErr w:type="spellEnd"/>
      <w:r w:rsidR="00267CDB" w:rsidRPr="00290146">
        <w:t xml:space="preserve"> 10, 9&amp;10) 사이에는 </w:t>
      </w:r>
      <w:r w:rsidR="00267CDB">
        <w:rPr>
          <w:rFonts w:hint="eastAsia"/>
        </w:rPr>
        <w:t xml:space="preserve">분명한 </w:t>
      </w:r>
      <w:proofErr w:type="spellStart"/>
      <w:r w:rsidR="00267CDB" w:rsidRPr="00290146">
        <w:t>비대칭성이</w:t>
      </w:r>
      <w:proofErr w:type="spellEnd"/>
      <w:r w:rsidR="00267CDB" w:rsidRPr="00290146">
        <w:t xml:space="preserve"> 발견된다. 동시대 분석(K=0)을 살펴보면, 매도강도가 강했던 기간에는 변동성 변화는 1% 신뢰수준 하에서 유의하게 하락하는 것을 관찰한 반면, 매수강도가 강했던 기간(</w:t>
      </w:r>
      <w:proofErr w:type="spellStart"/>
      <w:r w:rsidR="00267CDB" w:rsidRPr="00290146">
        <w:t>decile</w:t>
      </w:r>
      <w:proofErr w:type="spellEnd"/>
      <w:r w:rsidR="00267CDB" w:rsidRPr="00290146">
        <w:t xml:space="preserve"> 1)의 변동성 변화는 유의하지 않게 관찰되었다. </w:t>
      </w:r>
      <w:r w:rsidR="00267CDB">
        <w:rPr>
          <w:rFonts w:hint="eastAsia"/>
        </w:rPr>
        <w:t xml:space="preserve">즉 투자회사는 </w:t>
      </w:r>
      <w:r w:rsidR="00267CDB" w:rsidRPr="00290146">
        <w:t>매도거래</w:t>
      </w:r>
      <w:r w:rsidR="00267CDB">
        <w:rPr>
          <w:rFonts w:hint="eastAsia"/>
        </w:rPr>
        <w:t xml:space="preserve">에서만 변동성 변화와 관련되어 있음을 확인할 수 </w:t>
      </w:r>
      <w:r w:rsidR="00267CDB">
        <w:rPr>
          <w:rFonts w:hint="eastAsia"/>
        </w:rPr>
        <w:lastRenderedPageBreak/>
        <w:t>있다.</w:t>
      </w:r>
      <w:r w:rsidR="00D53D90">
        <w:rPr>
          <w:rStyle w:val="a5"/>
        </w:rPr>
        <w:footnoteReference w:id="10"/>
      </w:r>
      <w:r w:rsidR="00D53D90">
        <w:rPr>
          <w:rFonts w:hint="eastAsia"/>
        </w:rPr>
        <w:t xml:space="preserve"> 이 밖에 </w:t>
      </w:r>
      <w:r w:rsidR="00D53D90" w:rsidRPr="00290146">
        <w:t xml:space="preserve">투자회사의 변동성 예측력을 살펴본 </w:t>
      </w:r>
      <w:r w:rsidR="00D53D90">
        <w:rPr>
          <w:rFonts w:hint="eastAsia"/>
        </w:rPr>
        <w:t>&lt;표 8: Panel B&gt;</w:t>
      </w:r>
      <w:r w:rsidR="00D53D90">
        <w:t>의</w:t>
      </w:r>
      <w:r w:rsidR="00D53D90">
        <w:rPr>
          <w:rFonts w:hint="eastAsia"/>
        </w:rPr>
        <w:t xml:space="preserve"> </w:t>
      </w:r>
      <w:r w:rsidR="00D53D90" w:rsidRPr="00290146">
        <w:t xml:space="preserve">모형 4에서는 유의한 값을 가지지 못하는 것으로 나타났으며, 변동성 변화가 투자회사의 거래강도에 미치는 영향을 분석한 모형 5도 유의한 결과를 도출하지 못했다. </w:t>
      </w:r>
    </w:p>
    <w:p w:rsidR="00CF6042" w:rsidRDefault="00290146" w:rsidP="00D53D90">
      <w:pPr>
        <w:spacing w:line="276" w:lineRule="auto"/>
        <w:ind w:firstLineChars="100" w:firstLine="200"/>
      </w:pPr>
      <w:r w:rsidRPr="00290146">
        <w:t xml:space="preserve">다음으로 언제 투자회사의 매수강도와 매도강도가 강했는지 살피기 위해 거래강도가 강했던 시점 이전의 변동성 누적변화(K=-10, -5)를 살펴본다. 모든 기간에 대해 변동성 매수/매도 전의 유의한 패턴이 관찰되지 않는다. 반면, 거래강도가 강했던 시점 이후의 변동성 누적변화(K=5, 10)을 살펴보면 K=5에 대해서 약한 유의성을 보이는 것으로 나타났다. 대규모 매도거래 이후 변동성 변화를 보면 주로 매도시점에 변동성이 급격히 하락하지만, 이후 일정비율만큼 반등하는 것을 확인할 수 있었다. </w:t>
      </w:r>
      <w:r w:rsidR="00D53D90">
        <w:rPr>
          <w:rFonts w:hint="eastAsia"/>
        </w:rPr>
        <w:t xml:space="preserve">이상의 결과는 투자회사가 변동성 거래에서 정보거래자가 아니라고 해석될 수 있다. 변동성 매도 당시 변동성은 하락하였으며(저가 매도), 매도 이후 소폭 변동성이 상승하는 것은 최소한 변동성 거래측면에서 정보를 가지고 있다고 보기 어렵다. 단, 옵션시장에서 거래자의 정보성을 평가하기 위해서는 변동성 거래뿐만 아니라 기초자산의 방향성 거래에 대해서도 평가해야 하기 때문에, 최종적으로 투자회사가 손실을 기록하고 있다고 결론지을 수는 없다. 다만, 변동성 거래측면에서는 외국인기관투자자에 비해 열등한 투자성과를 보이고 </w:t>
      </w:r>
      <w:r w:rsidR="00CF78A1">
        <w:rPr>
          <w:rFonts w:hint="eastAsia"/>
        </w:rPr>
        <w:t xml:space="preserve">있음이 확인되었다. </w:t>
      </w:r>
      <w:r w:rsidR="00D53D90">
        <w:rPr>
          <w:rFonts w:hint="eastAsia"/>
        </w:rPr>
        <w:t xml:space="preserve"> </w:t>
      </w:r>
    </w:p>
    <w:p w:rsidR="00D53D90" w:rsidRDefault="00D53D90" w:rsidP="00D53D90">
      <w:pPr>
        <w:spacing w:line="276" w:lineRule="auto"/>
        <w:ind w:firstLineChars="100" w:firstLine="200"/>
      </w:pPr>
      <w:r>
        <w:rPr>
          <w:rFonts w:hint="eastAsia"/>
        </w:rPr>
        <w:t xml:space="preserve">이상의 결과를 종합하면 4.1장과 4.2장에서 국내기관투자자에 대한 변동성 거래의 특징이 관찰되지 않은 것은 투자성향이 다른 여러 기관투자자의 영향력이 혼합되어 있기 때문이라는 결과를 지지한다. 증권회사와 투자회사로 나누었을 경우 변동성과의 관계성 및 유의성에서 상당한 차이가 있었으며, 서로 상반되는 영향력에 의해 전체국내기관투자자의 영향력이 유의하지 않게 나타난 것으로 보인다. </w:t>
      </w:r>
    </w:p>
    <w:p w:rsidR="00354604" w:rsidRDefault="00354604" w:rsidP="00CF6042">
      <w:pPr>
        <w:spacing w:line="276" w:lineRule="auto"/>
      </w:pPr>
    </w:p>
    <w:p w:rsidR="003C2BED" w:rsidRDefault="003C2BED" w:rsidP="00CF6042">
      <w:pPr>
        <w:spacing w:line="276" w:lineRule="auto"/>
      </w:pPr>
    </w:p>
    <w:p w:rsidR="002C7D06" w:rsidRPr="004C0A5F" w:rsidRDefault="002C7D06" w:rsidP="00CF6042">
      <w:pPr>
        <w:pStyle w:val="a9"/>
        <w:numPr>
          <w:ilvl w:val="0"/>
          <w:numId w:val="1"/>
        </w:numPr>
        <w:spacing w:line="276" w:lineRule="auto"/>
        <w:ind w:leftChars="0"/>
        <w:rPr>
          <w:b/>
          <w:sz w:val="28"/>
        </w:rPr>
      </w:pPr>
      <w:proofErr w:type="spellStart"/>
      <w:r w:rsidRPr="004C0A5F">
        <w:rPr>
          <w:rFonts w:hint="eastAsia"/>
          <w:b/>
          <w:sz w:val="28"/>
        </w:rPr>
        <w:t>강건성</w:t>
      </w:r>
      <w:proofErr w:type="spellEnd"/>
      <w:r w:rsidRPr="004C0A5F">
        <w:rPr>
          <w:rFonts w:hint="eastAsia"/>
          <w:b/>
          <w:sz w:val="28"/>
        </w:rPr>
        <w:t xml:space="preserve"> 검증</w:t>
      </w:r>
    </w:p>
    <w:p w:rsidR="003C2BED" w:rsidRDefault="003C2BED" w:rsidP="003C2BED">
      <w:pPr>
        <w:spacing w:line="276" w:lineRule="auto"/>
        <w:ind w:firstLineChars="100" w:firstLine="200"/>
      </w:pPr>
      <w:r>
        <w:rPr>
          <w:rFonts w:hint="eastAsia"/>
        </w:rPr>
        <w:t xml:space="preserve">앞선 분석에서 전체 기관투자자 중 외국인기관투자자와 국내 투자회사의 거래강도가 변동성과 유의한 관련성이 있음을 확인하였다. 본 장은 이러한 결과가 거래량 효과 및 실현변동성 효과를 고려한 이후에도 여전히 유의한지 확인하기 위해 다음의 </w:t>
      </w:r>
      <w:proofErr w:type="spellStart"/>
      <w:r>
        <w:rPr>
          <w:rFonts w:hint="eastAsia"/>
        </w:rPr>
        <w:t>강건성</w:t>
      </w:r>
      <w:proofErr w:type="spellEnd"/>
      <w:r>
        <w:rPr>
          <w:rFonts w:hint="eastAsia"/>
        </w:rPr>
        <w:t xml:space="preserve"> 검증을 수행한다. </w:t>
      </w:r>
    </w:p>
    <w:p w:rsidR="00D31F0F" w:rsidRDefault="003C2BED" w:rsidP="003C2BED">
      <w:pPr>
        <w:spacing w:line="276" w:lineRule="auto"/>
        <w:ind w:firstLineChars="100" w:firstLine="200"/>
      </w:pPr>
      <w:r>
        <w:rPr>
          <w:rFonts w:hint="eastAsia"/>
        </w:rPr>
        <w:t>먼저 외국인기관투자자와 변동성의 변화를 보면, 변동성이 하락했을 때 외국인의 매수가 발생하고 변동성이 상승했을 때 외국인의 매도가 발생하였다. 그러나 그</w:t>
      </w:r>
      <w:r w:rsidR="00D31F0F">
        <w:rPr>
          <w:rFonts w:hint="eastAsia"/>
        </w:rPr>
        <w:t xml:space="preserve"> 크기가 </w:t>
      </w:r>
      <w:r>
        <w:rPr>
          <w:rFonts w:hint="eastAsia"/>
        </w:rPr>
        <w:t>비대칭적임을</w:t>
      </w:r>
      <w:r w:rsidR="00D31F0F">
        <w:rPr>
          <w:rFonts w:hint="eastAsia"/>
        </w:rPr>
        <w:t xml:space="preserve"> 표 7을 통해 확인할 수 있었다. 따라서 </w:t>
      </w:r>
      <w:proofErr w:type="spellStart"/>
      <w:r w:rsidR="00D31F0F">
        <w:rPr>
          <w:rFonts w:hint="eastAsia"/>
        </w:rPr>
        <w:t>강건성</w:t>
      </w:r>
      <w:proofErr w:type="spellEnd"/>
      <w:r w:rsidR="00D31F0F">
        <w:rPr>
          <w:rFonts w:hint="eastAsia"/>
        </w:rPr>
        <w:t xml:space="preserve"> 검증은 거래강도에 따라 10개의 기간으로 나눈 decile 분석을 이용해서 매수와 매도 각각에 대해 거래량 효과와 실현변동성 효과를 조정한다. </w:t>
      </w:r>
    </w:p>
    <w:p w:rsidR="002D60DA" w:rsidRDefault="00D31F0F" w:rsidP="002D60DA">
      <w:pPr>
        <w:spacing w:line="276" w:lineRule="auto"/>
        <w:ind w:firstLineChars="100" w:firstLine="200"/>
      </w:pPr>
      <w:r>
        <w:rPr>
          <w:rFonts w:hint="eastAsia"/>
        </w:rPr>
        <w:t xml:space="preserve">앞선 결과를 보면 외국인기관투자자 및 국내투자회사와 변동성의 유의한 관계는 거래량 </w:t>
      </w:r>
      <w:proofErr w:type="gramStart"/>
      <w:r>
        <w:rPr>
          <w:rFonts w:hint="eastAsia"/>
        </w:rPr>
        <w:t xml:space="preserve">또는 </w:t>
      </w:r>
      <w:r w:rsidR="00420B67" w:rsidRPr="00290146">
        <w:t xml:space="preserve"> </w:t>
      </w:r>
      <w:r>
        <w:rPr>
          <w:rFonts w:hint="eastAsia"/>
        </w:rPr>
        <w:lastRenderedPageBreak/>
        <w:t>실현변동성의</w:t>
      </w:r>
      <w:proofErr w:type="gramEnd"/>
      <w:r>
        <w:rPr>
          <w:rFonts w:hint="eastAsia"/>
        </w:rPr>
        <w:t xml:space="preserve"> 우연한 변화에 의해 왜곡되었을 가능성이 있다. 즉, 각 </w:t>
      </w:r>
      <w:r w:rsidR="00420B67" w:rsidRPr="00290146">
        <w:t>거래가 변동성</w:t>
      </w:r>
      <w:r>
        <w:rPr>
          <w:rFonts w:hint="eastAsia"/>
        </w:rPr>
        <w:t xml:space="preserve">과 </w:t>
      </w:r>
      <w:r w:rsidR="00420B67" w:rsidRPr="00290146">
        <w:t>유의한 영향</w:t>
      </w:r>
      <w:r>
        <w:rPr>
          <w:rFonts w:hint="eastAsia"/>
        </w:rPr>
        <w:t xml:space="preserve">이 없더라도 변동성이 거래량과 깊은 상관관계를 가진다면, 특정 거래주체의 거래강도(거래량)가 변동성에 영향을 미치는 것처럼 보일 수 있다 </w:t>
      </w:r>
      <w:r w:rsidR="00420B67" w:rsidRPr="00290146">
        <w:t>(Conrad et al</w:t>
      </w:r>
      <w:proofErr w:type="gramStart"/>
      <w:r w:rsidR="00420B67" w:rsidRPr="00290146">
        <w:t>.,</w:t>
      </w:r>
      <w:proofErr w:type="gramEnd"/>
      <w:r w:rsidR="00420B67" w:rsidRPr="00290146">
        <w:t xml:space="preserve"> 1994; </w:t>
      </w:r>
      <w:proofErr w:type="spellStart"/>
      <w:r w:rsidR="00420B67" w:rsidRPr="00290146">
        <w:t>Kaniel</w:t>
      </w:r>
      <w:proofErr w:type="spellEnd"/>
      <w:r w:rsidR="00420B67" w:rsidRPr="00290146">
        <w:t xml:space="preserve"> et al., 2008; Wang, 2002 등). </w:t>
      </w:r>
      <w:r>
        <w:rPr>
          <w:rFonts w:hint="eastAsia"/>
        </w:rPr>
        <w:t xml:space="preserve">또한 선행연구들은 거래량과 변동성이 양의 상관관계를 가지고 있는 것을 보고한 바 있다. </w:t>
      </w:r>
      <w:r w:rsidR="002D60DA">
        <w:rPr>
          <w:rFonts w:hint="eastAsia"/>
        </w:rPr>
        <w:t xml:space="preserve">각 투자자 그룹의 거래강도가 큰 기간(매수 또는 매도가 큰 기간)에서 변동성의 변화 중 거래량에 의해 설명되지 못하는 부분이 유의하게 관찰되는지 확인한다.  </w:t>
      </w:r>
    </w:p>
    <w:p w:rsidR="00420B67" w:rsidRPr="00290146" w:rsidRDefault="00420B67" w:rsidP="002D60DA">
      <w:pPr>
        <w:spacing w:line="276" w:lineRule="auto"/>
        <w:ind w:firstLineChars="100" w:firstLine="200"/>
      </w:pPr>
      <w:r w:rsidRPr="00290146">
        <w:t xml:space="preserve">자세한 분석 방법은 3장에서 나눈 10개의 하위 그룹 중 매도강도가 가장 강한 기간 </w:t>
      </w:r>
      <w:proofErr w:type="spellStart"/>
      <w:r w:rsidRPr="00290146">
        <w:t>decile</w:t>
      </w:r>
      <w:proofErr w:type="spellEnd"/>
      <w:r w:rsidRPr="00290146">
        <w:t xml:space="preserve"> 1과 매수강도가 가장 강한 </w:t>
      </w:r>
      <w:proofErr w:type="spellStart"/>
      <w:r w:rsidRPr="00290146">
        <w:t>decile</w:t>
      </w:r>
      <w:proofErr w:type="spellEnd"/>
      <w:r w:rsidRPr="00290146">
        <w:t xml:space="preserve"> 10에서 변동성 누적변화가 거래량에 설명되고도 </w:t>
      </w:r>
      <w:r w:rsidR="002D60DA">
        <w:rPr>
          <w:rFonts w:hint="eastAsia"/>
        </w:rPr>
        <w:t xml:space="preserve">남는 부분이 </w:t>
      </w:r>
      <w:r w:rsidRPr="00290146">
        <w:t>여전히 유의한지 확인하는 것이다. 그 식은 아래와 같다.</w:t>
      </w:r>
    </w:p>
    <w:p w:rsidR="00420B67" w:rsidRPr="00290146" w:rsidRDefault="00420B67" w:rsidP="00420B67">
      <w:pPr>
        <w:spacing w:line="276" w:lineRule="auto"/>
      </w:pPr>
    </w:p>
    <w:p w:rsidR="00420B67" w:rsidRPr="00B6568E" w:rsidRDefault="00420B67" w:rsidP="00420B67">
      <w:pPr>
        <w:spacing w:line="276" w:lineRule="auto"/>
        <w:ind w:left="800" w:right="784"/>
        <w:rPr>
          <w:rFonts w:ascii="Times New Roman" w:eastAsia="HY신명조" w:hAnsi="Times New Roman" w:cs="Times New Roman"/>
        </w:rPr>
      </w:pPr>
      <w:r w:rsidRPr="00B6568E">
        <w:rPr>
          <w:rFonts w:ascii="Times New Roman" w:eastAsia="HY신명조" w:hAnsi="Times New Roman" w:cs="Times New Roman"/>
          <w:b/>
        </w:rPr>
        <w:t xml:space="preserve">Model 6: </w:t>
      </w:r>
      <w:r w:rsidRPr="00B6568E">
        <w:rPr>
          <w:rFonts w:ascii="Times New Roman" w:eastAsia="HY신명조" w:hAnsi="Times New Roman" w:cs="Times New Roman"/>
          <w:b/>
          <w:position w:val="-12"/>
        </w:rPr>
        <w:object w:dxaOrig="4480" w:dyaOrig="360">
          <v:shape id="_x0000_i1036" type="#_x0000_t75" style="width:224.35pt;height:18.4pt" o:ole="">
            <v:imagedata r:id="rId30" o:title=""/>
          </v:shape>
          <o:OLEObject Type="Embed" ProgID="Equation.DSMT4" ShapeID="_x0000_i1036" DrawAspect="Content" ObjectID="_1463777625" r:id="rId31"/>
        </w:object>
      </w:r>
      <w:r w:rsidRPr="00B6568E">
        <w:rPr>
          <w:rFonts w:ascii="Times New Roman" w:eastAsia="HY신명조" w:hAnsi="Times New Roman" w:cs="Times New Roman"/>
          <w:b/>
          <w:position w:val="-12"/>
        </w:rPr>
        <w:t xml:space="preserve">   </w:t>
      </w:r>
      <w:r>
        <w:rPr>
          <w:rFonts w:ascii="Times New Roman" w:eastAsia="HY신명조" w:hAnsi="Times New Roman" w:cs="Times New Roman" w:hint="eastAsia"/>
          <w:b/>
          <w:position w:val="-12"/>
        </w:rPr>
        <w:t xml:space="preserve">      </w:t>
      </w:r>
      <w:r w:rsidRPr="00B6568E">
        <w:rPr>
          <w:rFonts w:ascii="Times New Roman" w:eastAsia="HY신명조" w:hAnsi="Times New Roman" w:cs="Times New Roman"/>
          <w:b/>
          <w:position w:val="-12"/>
        </w:rPr>
        <w:t xml:space="preserve">         </w:t>
      </w:r>
      <w:r w:rsidRPr="00B6568E">
        <w:rPr>
          <w:rFonts w:ascii="Times New Roman" w:eastAsia="HY신명조" w:hAnsi="Times New Roman" w:cs="Times New Roman"/>
        </w:rPr>
        <w:t>(6)</w:t>
      </w:r>
    </w:p>
    <w:p w:rsidR="00420B67" w:rsidRPr="00290146" w:rsidRDefault="00420B67" w:rsidP="00420B67">
      <w:pPr>
        <w:spacing w:line="276" w:lineRule="auto"/>
      </w:pPr>
    </w:p>
    <w:p w:rsidR="002D60DA" w:rsidRDefault="00420B67" w:rsidP="002D60DA">
      <w:pPr>
        <w:spacing w:line="276" w:lineRule="auto"/>
        <w:ind w:firstLineChars="100" w:firstLine="200"/>
      </w:pPr>
      <w:r w:rsidRPr="00290146">
        <w:t xml:space="preserve">여기서 </w:t>
      </w:r>
      <w:r w:rsidRPr="00290146">
        <w:object w:dxaOrig="260" w:dyaOrig="360">
          <v:shape id="_x0000_i1037" type="#_x0000_t75" style="width:14.25pt;height:18.4pt" o:ole="">
            <v:imagedata r:id="rId32" o:title=""/>
          </v:shape>
          <o:OLEObject Type="Embed" ProgID="Equation.DSMT4" ShapeID="_x0000_i1037" DrawAspect="Content" ObjectID="_1463777626" r:id="rId33"/>
        </w:object>
      </w:r>
      <w:r w:rsidRPr="00290146">
        <w:t xml:space="preserve">은 </w:t>
      </w:r>
      <w:r w:rsidR="002D60DA">
        <w:rPr>
          <w:rFonts w:hint="eastAsia"/>
        </w:rPr>
        <w:t>외국인(국내</w:t>
      </w:r>
      <w:r w:rsidRPr="00290146">
        <w:t>투자회사</w:t>
      </w:r>
      <w:r w:rsidR="002D60DA">
        <w:rPr>
          <w:rFonts w:hint="eastAsia"/>
        </w:rPr>
        <w:t>)</w:t>
      </w:r>
      <w:r w:rsidRPr="00290146">
        <w:t xml:space="preserve">의 거래강도가 컸던 기간에 변동했던 변동성이 거래량과 유의한 관련성을 가지고 있는지를 나타내며, </w:t>
      </w:r>
      <w:r w:rsidRPr="00290146">
        <w:object w:dxaOrig="300" w:dyaOrig="360">
          <v:shape id="_x0000_i1038" type="#_x0000_t75" style="width:15.05pt;height:18.4pt" o:ole="">
            <v:imagedata r:id="rId34" o:title=""/>
          </v:shape>
          <o:OLEObject Type="Embed" ProgID="Equation.DSMT4" ShapeID="_x0000_i1038" DrawAspect="Content" ObjectID="_1463777627" r:id="rId35"/>
        </w:object>
      </w:r>
      <w:r w:rsidRPr="00290146">
        <w:t xml:space="preserve">는 거래량에 의한 정보를 제외한 순수한 </w:t>
      </w:r>
      <w:r w:rsidR="002D60DA">
        <w:rPr>
          <w:rFonts w:hint="eastAsia"/>
        </w:rPr>
        <w:t>외국인(국내</w:t>
      </w:r>
      <w:r w:rsidR="002D60DA" w:rsidRPr="00290146">
        <w:t>투자회사</w:t>
      </w:r>
      <w:r w:rsidR="002D60DA">
        <w:rPr>
          <w:rFonts w:hint="eastAsia"/>
        </w:rPr>
        <w:t>)</w:t>
      </w:r>
      <w:r w:rsidRPr="00290146">
        <w:t xml:space="preserve">에 의한 영향이 여전히 유의하게 존재하는지를 보여주는 것이다. 만약 변동성 누적변화가 거래량에 의해 설명력을 가진다면, </w:t>
      </w:r>
      <w:r w:rsidRPr="00290146">
        <w:object w:dxaOrig="260" w:dyaOrig="360">
          <v:shape id="_x0000_i1039" type="#_x0000_t75" style="width:14.25pt;height:18.4pt" o:ole="">
            <v:imagedata r:id="rId32" o:title=""/>
          </v:shape>
          <o:OLEObject Type="Embed" ProgID="Equation.DSMT4" ShapeID="_x0000_i1039" DrawAspect="Content" ObjectID="_1463777628" r:id="rId36"/>
        </w:object>
      </w:r>
      <w:r w:rsidRPr="00290146">
        <w:t xml:space="preserve">이 유의성을 가질 것이며, 변동성의 누적변화가 총거래량에 의해 설명된 이후에도 유의한 변화가 유지된다면 </w:t>
      </w:r>
      <w:r w:rsidRPr="00290146">
        <w:object w:dxaOrig="300" w:dyaOrig="360">
          <v:shape id="_x0000_i1040" type="#_x0000_t75" style="width:15.05pt;height:18.4pt" o:ole="">
            <v:imagedata r:id="rId34" o:title=""/>
          </v:shape>
          <o:OLEObject Type="Embed" ProgID="Equation.DSMT4" ShapeID="_x0000_i1040" DrawAspect="Content" ObjectID="_1463777629" r:id="rId37"/>
        </w:object>
      </w:r>
      <w:r w:rsidRPr="00290146">
        <w:t xml:space="preserve">가 </w:t>
      </w:r>
      <w:r w:rsidR="002D60DA">
        <w:rPr>
          <w:rFonts w:hint="eastAsia"/>
        </w:rPr>
        <w:t xml:space="preserve">통계적으로 </w:t>
      </w:r>
      <w:r w:rsidRPr="00290146">
        <w:t>유의할 것이다.</w:t>
      </w:r>
      <w:r w:rsidR="002D60DA">
        <w:rPr>
          <w:rFonts w:hint="eastAsia"/>
        </w:rPr>
        <w:t xml:space="preserve"> </w:t>
      </w:r>
    </w:p>
    <w:p w:rsidR="00420B67" w:rsidRPr="00290146" w:rsidRDefault="002D60DA" w:rsidP="002D60DA">
      <w:pPr>
        <w:spacing w:line="276" w:lineRule="auto"/>
        <w:ind w:firstLineChars="100" w:firstLine="200"/>
      </w:pPr>
      <w:r>
        <w:rPr>
          <w:rFonts w:hint="eastAsia"/>
        </w:rPr>
        <w:t xml:space="preserve">이 밖에, </w:t>
      </w:r>
      <w:r w:rsidR="00420B67" w:rsidRPr="00290146">
        <w:t xml:space="preserve">변동성의 변화가 </w:t>
      </w:r>
      <w:r>
        <w:rPr>
          <w:rFonts w:hint="eastAsia"/>
        </w:rPr>
        <w:t>외국인(국내</w:t>
      </w:r>
      <w:r w:rsidRPr="00290146">
        <w:t>투자회사</w:t>
      </w:r>
      <w:r>
        <w:rPr>
          <w:rFonts w:hint="eastAsia"/>
        </w:rPr>
        <w:t>)과</w:t>
      </w:r>
      <w:r w:rsidR="00420B67" w:rsidRPr="00290146">
        <w:t xml:space="preserve"> 관련된 것이 아니라 실제위험의 크기 변화를 반영했을 수도 있다. 실현 변동성은 수익률의 표준편차로 정의되며, 위험의 크기를 측정하데 사용된다. 만약 특정 기간에 옵션 내재변동성이 상승했고 이것이 기초자산의 위험(변동성)의 증가에 의한 것이었다면, </w:t>
      </w:r>
      <w:r>
        <w:rPr>
          <w:rFonts w:hint="eastAsia"/>
        </w:rPr>
        <w:t>외국인(국내</w:t>
      </w:r>
      <w:r w:rsidRPr="00290146">
        <w:t>투자회사</w:t>
      </w:r>
      <w:r>
        <w:rPr>
          <w:rFonts w:hint="eastAsia"/>
        </w:rPr>
        <w:t>)</w:t>
      </w:r>
      <w:r w:rsidR="00420B67" w:rsidRPr="00290146">
        <w:t>의 영향은 과대평가될 수도 있다. 따라서 매수강도와 매도강도가 강한 기간(</w:t>
      </w:r>
      <w:proofErr w:type="spellStart"/>
      <w:r w:rsidR="00420B67" w:rsidRPr="00290146">
        <w:t>decile</w:t>
      </w:r>
      <w:proofErr w:type="spellEnd"/>
      <w:r w:rsidR="00420B67" w:rsidRPr="00290146">
        <w:t xml:space="preserve"> 10, </w:t>
      </w:r>
      <w:proofErr w:type="spellStart"/>
      <w:r w:rsidR="00420B67" w:rsidRPr="00290146">
        <w:t>deceil</w:t>
      </w:r>
      <w:proofErr w:type="spellEnd"/>
      <w:r w:rsidR="00420B67" w:rsidRPr="00290146">
        <w:t xml:space="preserve"> 1)의 변동성 변화를 실현변동성으로 회귀 분석한다. </w:t>
      </w:r>
    </w:p>
    <w:p w:rsidR="00420B67" w:rsidRPr="00290146" w:rsidRDefault="00420B67" w:rsidP="00420B67">
      <w:pPr>
        <w:spacing w:line="276" w:lineRule="auto"/>
      </w:pPr>
    </w:p>
    <w:p w:rsidR="00420B67" w:rsidRPr="00B6568E" w:rsidRDefault="00420B67" w:rsidP="00420B67">
      <w:pPr>
        <w:spacing w:line="276" w:lineRule="auto"/>
        <w:ind w:right="784" w:firstLine="800"/>
        <w:rPr>
          <w:rFonts w:ascii="Times New Roman" w:eastAsia="HY신명조" w:hAnsi="Times New Roman" w:cs="Times New Roman"/>
        </w:rPr>
      </w:pPr>
      <w:r w:rsidRPr="00B6568E">
        <w:rPr>
          <w:rFonts w:ascii="Times New Roman" w:eastAsia="HY신명조" w:hAnsi="Times New Roman" w:cs="Times New Roman"/>
          <w:b/>
        </w:rPr>
        <w:t xml:space="preserve">Model 7: </w:t>
      </w:r>
      <w:r w:rsidRPr="00B6568E">
        <w:rPr>
          <w:rFonts w:ascii="Times New Roman" w:eastAsia="HY신명조" w:hAnsi="Times New Roman" w:cs="Times New Roman"/>
          <w:b/>
          <w:position w:val="-12"/>
        </w:rPr>
        <w:object w:dxaOrig="5840" w:dyaOrig="360">
          <v:shape id="_x0000_i1041" type="#_x0000_t75" style="width:293pt;height:18.4pt" o:ole="">
            <v:imagedata r:id="rId38" o:title=""/>
          </v:shape>
          <o:OLEObject Type="Embed" ProgID="Equation.DSMT4" ShapeID="_x0000_i1041" DrawAspect="Content" ObjectID="_1463777630" r:id="rId39"/>
        </w:object>
      </w:r>
      <w:r w:rsidRPr="00B6568E">
        <w:rPr>
          <w:rFonts w:ascii="Times New Roman" w:eastAsia="HY신명조" w:hAnsi="Times New Roman" w:cs="Times New Roman"/>
          <w:b/>
          <w:position w:val="-12"/>
        </w:rPr>
        <w:t xml:space="preserve"> </w:t>
      </w:r>
      <w:r>
        <w:rPr>
          <w:rFonts w:ascii="Times New Roman" w:eastAsia="HY신명조" w:hAnsi="Times New Roman" w:cs="Times New Roman" w:hint="eastAsia"/>
          <w:b/>
          <w:position w:val="-12"/>
        </w:rPr>
        <w:t xml:space="preserve"> </w:t>
      </w:r>
      <w:r w:rsidRPr="00B6568E">
        <w:rPr>
          <w:rFonts w:ascii="Times New Roman" w:eastAsia="HY신명조" w:hAnsi="Times New Roman" w:cs="Times New Roman"/>
          <w:b/>
          <w:position w:val="-12"/>
        </w:rPr>
        <w:t xml:space="preserve">   </w:t>
      </w:r>
      <w:r w:rsidRPr="00B6568E">
        <w:rPr>
          <w:rFonts w:ascii="Times New Roman" w:eastAsia="HY신명조" w:hAnsi="Times New Roman" w:cs="Times New Roman"/>
        </w:rPr>
        <w:t>(7)</w:t>
      </w:r>
    </w:p>
    <w:p w:rsidR="00420B67" w:rsidRPr="00290146" w:rsidRDefault="00420B67" w:rsidP="00420B67">
      <w:pPr>
        <w:spacing w:line="276" w:lineRule="auto"/>
      </w:pPr>
    </w:p>
    <w:p w:rsidR="00420B67" w:rsidRDefault="00420B67" w:rsidP="002D60DA">
      <w:pPr>
        <w:spacing w:line="276" w:lineRule="auto"/>
        <w:ind w:firstLineChars="100" w:firstLine="200"/>
      </w:pPr>
      <w:r w:rsidRPr="00290146">
        <w:t xml:space="preserve">모형 7에서 만약 실현변동성이 변동성 변화에 유의한 설명력을 가진다면 </w:t>
      </w:r>
      <w:r w:rsidRPr="00290146">
        <w:object w:dxaOrig="260" w:dyaOrig="360">
          <v:shape id="_x0000_i1042" type="#_x0000_t75" style="width:14.25pt;height:18.4pt" o:ole="">
            <v:imagedata r:id="rId32" o:title=""/>
          </v:shape>
          <o:OLEObject Type="Embed" ProgID="Equation.DSMT4" ShapeID="_x0000_i1042" DrawAspect="Content" ObjectID="_1463777631" r:id="rId40"/>
        </w:object>
      </w:r>
      <w:r w:rsidRPr="00290146">
        <w:t xml:space="preserve">은 유의한 값을 가질 것이며, 실현변동성의 영향을 고려한 이후에도 투자회사의 거래가 변동성에 유의한 영향을 미친다면 </w:t>
      </w:r>
      <w:r w:rsidRPr="00290146">
        <w:object w:dxaOrig="300" w:dyaOrig="360">
          <v:shape id="_x0000_i1043" type="#_x0000_t75" style="width:15.05pt;height:18.4pt" o:ole="">
            <v:imagedata r:id="rId34" o:title=""/>
          </v:shape>
          <o:OLEObject Type="Embed" ProgID="Equation.DSMT4" ShapeID="_x0000_i1043" DrawAspect="Content" ObjectID="_1463777632" r:id="rId41"/>
        </w:object>
      </w:r>
      <w:r w:rsidRPr="00290146">
        <w:t xml:space="preserve">가 유의하게 관찰될 것이다. 실현변동성은 현물지수의 분 가격 자료를 이용하여, 5분 간격으로 수익률을 측정하여 이 값을 표준편차로 계산하였다. </w:t>
      </w:r>
    </w:p>
    <w:p w:rsidR="002D60DA" w:rsidRPr="00290146" w:rsidRDefault="002D60DA" w:rsidP="002D60DA">
      <w:pPr>
        <w:spacing w:line="276" w:lineRule="auto"/>
        <w:ind w:firstLineChars="100" w:firstLine="200"/>
      </w:pPr>
    </w:p>
    <w:p w:rsidR="00420B67" w:rsidRPr="00290146" w:rsidRDefault="00420B67" w:rsidP="00420B67">
      <w:pPr>
        <w:spacing w:line="276" w:lineRule="auto"/>
      </w:pPr>
      <w:r w:rsidRPr="00290146">
        <w:tab/>
      </w:r>
      <w:r w:rsidRPr="00290146">
        <w:tab/>
      </w:r>
      <w:r w:rsidRPr="00290146">
        <w:tab/>
      </w:r>
      <w:r w:rsidRPr="00290146">
        <w:tab/>
      </w:r>
      <w:r w:rsidRPr="00290146">
        <w:object w:dxaOrig="1780" w:dyaOrig="760">
          <v:shape id="_x0000_i1044" type="#_x0000_t75" style="width:89.6pt;height:38.5pt" o:ole="">
            <v:imagedata r:id="rId42" o:title=""/>
          </v:shape>
          <o:OLEObject Type="Embed" ProgID="Equation.DSMT4" ShapeID="_x0000_i1044" DrawAspect="Content" ObjectID="_1463777633" r:id="rId43"/>
        </w:object>
      </w:r>
    </w:p>
    <w:p w:rsidR="00420B67" w:rsidRDefault="00420B67" w:rsidP="00420B67">
      <w:pPr>
        <w:spacing w:line="276" w:lineRule="auto"/>
      </w:pPr>
    </w:p>
    <w:p w:rsidR="00420B67" w:rsidRPr="00290146" w:rsidRDefault="00420B67" w:rsidP="002D60DA">
      <w:pPr>
        <w:spacing w:line="276" w:lineRule="auto"/>
        <w:ind w:firstLineChars="100" w:firstLine="200"/>
      </w:pPr>
      <w:r w:rsidRPr="00290146">
        <w:t xml:space="preserve">여기서 N은 총 자료의 수이며, 1주일간 실현변동성을 나타낸다. 동시호가 기간을 제외하고 9시와 9시 5분사이의 수익률을 시작으로 14시 45분과 14시 50분 수익률까지 하루 총 70개의 수익률자료가 있으며 일주일 간 350개의 수익률 자료가 생성된다. 단, 10시 개장이거나 휴일이 포함될 경우 하루 70개 미만의 자료가 생성될 수 있다.  </w:t>
      </w:r>
    </w:p>
    <w:p w:rsidR="00420B67" w:rsidRDefault="00420B67" w:rsidP="00CF6042">
      <w:pPr>
        <w:spacing w:line="276" w:lineRule="auto"/>
      </w:pPr>
    </w:p>
    <w:p w:rsidR="00392C84" w:rsidRDefault="00392C84" w:rsidP="00392C84">
      <w:pPr>
        <w:rPr>
          <w:b/>
        </w:rPr>
      </w:pPr>
      <w:r>
        <w:rPr>
          <w:rFonts w:hint="eastAsia"/>
          <w:b/>
        </w:rPr>
        <w:t>&lt;</w:t>
      </w:r>
      <w:r w:rsidRPr="00392C84">
        <w:rPr>
          <w:b/>
        </w:rPr>
        <w:t>표</w:t>
      </w:r>
      <w:r w:rsidR="00354604">
        <w:rPr>
          <w:b/>
        </w:rPr>
        <w:t xml:space="preserve"> 1</w:t>
      </w:r>
      <w:r w:rsidR="00023EE3">
        <w:rPr>
          <w:rFonts w:hint="eastAsia"/>
          <w:b/>
        </w:rPr>
        <w:t>0</w:t>
      </w:r>
      <w:r>
        <w:rPr>
          <w:rFonts w:hint="eastAsia"/>
          <w:b/>
        </w:rPr>
        <w:t xml:space="preserve">&gt; </w:t>
      </w:r>
      <w:r w:rsidRPr="00392C84">
        <w:rPr>
          <w:b/>
        </w:rPr>
        <w:t>거래량 효과와 실현변동성 효과를 반영한 외국인투자자와 변동성 변화의 관계 (K=0)</w:t>
      </w:r>
    </w:p>
    <w:p w:rsidR="00392C84" w:rsidRDefault="00392C84" w:rsidP="00392C84">
      <w:proofErr w:type="spellStart"/>
      <w:r w:rsidRPr="00392C84">
        <w:t>괄호안의</w:t>
      </w:r>
      <w:proofErr w:type="spellEnd"/>
      <w:r w:rsidRPr="00392C84">
        <w:t xml:space="preserve"> 값은 이분산성과 자기상관성을 고려한, </w:t>
      </w:r>
      <w:proofErr w:type="spellStart"/>
      <w:r w:rsidRPr="00392C84">
        <w:t>Newey</w:t>
      </w:r>
      <w:proofErr w:type="spellEnd"/>
      <w:r w:rsidRPr="00392C84">
        <w:t xml:space="preserve">-West HAC </w:t>
      </w:r>
      <w:proofErr w:type="spellStart"/>
      <w:r w:rsidRPr="00392C84">
        <w:t>공분산</w:t>
      </w:r>
      <w:proofErr w:type="spellEnd"/>
      <w:r w:rsidRPr="00392C84">
        <w:t xml:space="preserve"> 방법을 사용하여 계산된 t-통계량이다. *, **, *** 는 각각 10%, 5%, 1%의 신뢰수준 유의성을 나타낸다.</w:t>
      </w:r>
    </w:p>
    <w:p w:rsidR="0048311E" w:rsidRPr="0048311E" w:rsidRDefault="0048311E" w:rsidP="00392C84">
      <w:pPr>
        <w:rPr>
          <w:b/>
          <w:sz w:val="8"/>
        </w:rPr>
      </w:pPr>
    </w:p>
    <w:p w:rsidR="00392C84" w:rsidRPr="00392C84" w:rsidRDefault="00392C84" w:rsidP="00392C84">
      <w:pPr>
        <w:rPr>
          <w:b/>
        </w:rPr>
      </w:pPr>
      <w:r w:rsidRPr="00392C84">
        <w:rPr>
          <w:b/>
        </w:rPr>
        <w:t>Panel A. 거래량 효과</w:t>
      </w:r>
    </w:p>
    <w:tbl>
      <w:tblPr>
        <w:tblStyle w:val="ac"/>
        <w:tblW w:w="5000" w:type="pct"/>
        <w:tblBorders>
          <w:left w:val="none" w:sz="0" w:space="0" w:color="auto"/>
          <w:right w:val="none" w:sz="0" w:space="0" w:color="auto"/>
          <w:insideH w:val="none" w:sz="0" w:space="0" w:color="auto"/>
          <w:insideV w:val="none" w:sz="0" w:space="0" w:color="auto"/>
        </w:tblBorders>
        <w:tblLook w:val="04A0"/>
      </w:tblPr>
      <w:tblGrid>
        <w:gridCol w:w="1928"/>
        <w:gridCol w:w="2434"/>
        <w:gridCol w:w="2449"/>
        <w:gridCol w:w="2431"/>
      </w:tblGrid>
      <w:tr w:rsidR="00392C84" w:rsidRPr="00392C84" w:rsidTr="00392C84">
        <w:tc>
          <w:tcPr>
            <w:tcW w:w="1043" w:type="pct"/>
            <w:tcBorders>
              <w:top w:val="single" w:sz="4" w:space="0" w:color="auto"/>
              <w:bottom w:val="single" w:sz="4" w:space="0" w:color="auto"/>
            </w:tcBorders>
            <w:vAlign w:val="center"/>
          </w:tcPr>
          <w:p w:rsidR="00392C84" w:rsidRPr="00392C84" w:rsidRDefault="00392C84" w:rsidP="00392C84"/>
        </w:tc>
        <w:tc>
          <w:tcPr>
            <w:tcW w:w="1317" w:type="pct"/>
            <w:tcBorders>
              <w:top w:val="single" w:sz="4" w:space="0" w:color="auto"/>
              <w:bottom w:val="single" w:sz="4" w:space="0" w:color="auto"/>
            </w:tcBorders>
            <w:vAlign w:val="center"/>
          </w:tcPr>
          <w:p w:rsidR="00392C84" w:rsidRPr="00392C84" w:rsidRDefault="00392C84" w:rsidP="00392C84">
            <w:r w:rsidRPr="00392C84">
              <w:t>Constant</w:t>
            </w:r>
          </w:p>
        </w:tc>
        <w:tc>
          <w:tcPr>
            <w:tcW w:w="1325" w:type="pct"/>
            <w:tcBorders>
              <w:top w:val="single" w:sz="4" w:space="0" w:color="auto"/>
              <w:bottom w:val="single" w:sz="4" w:space="0" w:color="auto"/>
            </w:tcBorders>
            <w:vAlign w:val="center"/>
          </w:tcPr>
          <w:p w:rsidR="00392C84" w:rsidRPr="00392C84" w:rsidRDefault="00392C84" w:rsidP="00392C84">
            <w:r w:rsidRPr="00392C84">
              <w:t>Volume</w:t>
            </w:r>
          </w:p>
        </w:tc>
        <w:tc>
          <w:tcPr>
            <w:tcW w:w="1315" w:type="pct"/>
            <w:tcBorders>
              <w:top w:val="single" w:sz="4" w:space="0" w:color="auto"/>
              <w:bottom w:val="single" w:sz="4" w:space="0" w:color="auto"/>
            </w:tcBorders>
            <w:vAlign w:val="center"/>
          </w:tcPr>
          <w:p w:rsidR="00392C84" w:rsidRPr="00392C84" w:rsidRDefault="00392C84" w:rsidP="00392C84">
            <w:r w:rsidRPr="00392C84">
              <w:t>Adj. R-squared</w:t>
            </w:r>
          </w:p>
        </w:tc>
      </w:tr>
      <w:tr w:rsidR="00392C84" w:rsidRPr="00392C84" w:rsidTr="00392C84">
        <w:trPr>
          <w:trHeight w:val="60"/>
        </w:trPr>
        <w:tc>
          <w:tcPr>
            <w:tcW w:w="1043" w:type="pct"/>
            <w:vMerge w:val="restart"/>
            <w:tcBorders>
              <w:top w:val="single" w:sz="4" w:space="0" w:color="auto"/>
            </w:tcBorders>
            <w:vAlign w:val="center"/>
          </w:tcPr>
          <w:p w:rsidR="00392C84" w:rsidRPr="00392C84" w:rsidRDefault="00392C84" w:rsidP="00392C84">
            <w:proofErr w:type="spellStart"/>
            <w:r w:rsidRPr="00392C84">
              <w:t>Decile</w:t>
            </w:r>
            <w:proofErr w:type="spellEnd"/>
            <w:r w:rsidRPr="00392C84">
              <w:t xml:space="preserve"> 1</w:t>
            </w:r>
          </w:p>
        </w:tc>
        <w:tc>
          <w:tcPr>
            <w:tcW w:w="1317" w:type="pct"/>
            <w:tcBorders>
              <w:top w:val="single" w:sz="4" w:space="0" w:color="auto"/>
            </w:tcBorders>
            <w:vAlign w:val="center"/>
          </w:tcPr>
          <w:p w:rsidR="00392C84" w:rsidRPr="00392C84" w:rsidRDefault="00392C84" w:rsidP="00392C84">
            <w:r w:rsidRPr="00392C84">
              <w:t>-6.6449</w:t>
            </w:r>
          </w:p>
        </w:tc>
        <w:tc>
          <w:tcPr>
            <w:tcW w:w="1325" w:type="pct"/>
            <w:tcBorders>
              <w:top w:val="single" w:sz="4" w:space="0" w:color="auto"/>
            </w:tcBorders>
            <w:vAlign w:val="center"/>
          </w:tcPr>
          <w:p w:rsidR="00392C84" w:rsidRPr="00392C84" w:rsidRDefault="00392C84" w:rsidP="00392C84">
            <w:r w:rsidRPr="00392C84">
              <w:t>6.89E-08</w:t>
            </w:r>
          </w:p>
        </w:tc>
        <w:tc>
          <w:tcPr>
            <w:tcW w:w="1315" w:type="pct"/>
            <w:vMerge w:val="restart"/>
            <w:tcBorders>
              <w:top w:val="single" w:sz="4" w:space="0" w:color="auto"/>
            </w:tcBorders>
            <w:vAlign w:val="center"/>
          </w:tcPr>
          <w:p w:rsidR="00392C84" w:rsidRPr="00392C84" w:rsidRDefault="00392C84" w:rsidP="00392C84">
            <w:r w:rsidRPr="00392C84">
              <w:t>0.5152</w:t>
            </w:r>
          </w:p>
        </w:tc>
      </w:tr>
      <w:tr w:rsidR="00392C84" w:rsidRPr="00392C84" w:rsidTr="00392C84">
        <w:trPr>
          <w:trHeight w:val="70"/>
        </w:trPr>
        <w:tc>
          <w:tcPr>
            <w:tcW w:w="1043" w:type="pct"/>
            <w:vMerge/>
            <w:vAlign w:val="center"/>
          </w:tcPr>
          <w:p w:rsidR="00392C84" w:rsidRPr="00392C84" w:rsidRDefault="00392C84" w:rsidP="00392C84"/>
        </w:tc>
        <w:tc>
          <w:tcPr>
            <w:tcW w:w="1317" w:type="pct"/>
            <w:vAlign w:val="center"/>
          </w:tcPr>
          <w:p w:rsidR="00392C84" w:rsidRPr="00392C84" w:rsidRDefault="00392C84" w:rsidP="00392C84">
            <w:r w:rsidRPr="00392C84">
              <w:t>(-2.99)***</w:t>
            </w:r>
          </w:p>
        </w:tc>
        <w:tc>
          <w:tcPr>
            <w:tcW w:w="1325" w:type="pct"/>
            <w:vAlign w:val="center"/>
          </w:tcPr>
          <w:p w:rsidR="00392C84" w:rsidRPr="00392C84" w:rsidRDefault="00392C84" w:rsidP="00392C84">
            <w:r w:rsidRPr="00392C84">
              <w:t>(3.28)***</w:t>
            </w:r>
          </w:p>
        </w:tc>
        <w:tc>
          <w:tcPr>
            <w:tcW w:w="1315" w:type="pct"/>
            <w:vMerge/>
            <w:vAlign w:val="center"/>
          </w:tcPr>
          <w:p w:rsidR="00392C84" w:rsidRPr="00392C84" w:rsidRDefault="00392C84" w:rsidP="00392C84"/>
        </w:tc>
      </w:tr>
      <w:tr w:rsidR="00392C84" w:rsidRPr="00392C84" w:rsidTr="00392C84">
        <w:trPr>
          <w:trHeight w:val="70"/>
        </w:trPr>
        <w:tc>
          <w:tcPr>
            <w:tcW w:w="1043" w:type="pct"/>
            <w:vMerge w:val="restart"/>
            <w:vAlign w:val="center"/>
          </w:tcPr>
          <w:p w:rsidR="00392C84" w:rsidRPr="00392C84" w:rsidRDefault="00392C84" w:rsidP="00392C84">
            <w:proofErr w:type="spellStart"/>
            <w:r w:rsidRPr="00392C84">
              <w:t>Decile</w:t>
            </w:r>
            <w:proofErr w:type="spellEnd"/>
            <w:r w:rsidRPr="00392C84">
              <w:t xml:space="preserve"> 10</w:t>
            </w:r>
          </w:p>
        </w:tc>
        <w:tc>
          <w:tcPr>
            <w:tcW w:w="1317" w:type="pct"/>
            <w:vAlign w:val="center"/>
          </w:tcPr>
          <w:p w:rsidR="00392C84" w:rsidRPr="00392C84" w:rsidRDefault="00392C84" w:rsidP="00392C84">
            <w:r w:rsidRPr="00392C84">
              <w:t>-2.4704</w:t>
            </w:r>
          </w:p>
        </w:tc>
        <w:tc>
          <w:tcPr>
            <w:tcW w:w="1325" w:type="pct"/>
            <w:vAlign w:val="center"/>
          </w:tcPr>
          <w:p w:rsidR="00392C84" w:rsidRPr="00392C84" w:rsidRDefault="00392C84" w:rsidP="00392C84">
            <w:r w:rsidRPr="00392C84">
              <w:t>1.09E-08</w:t>
            </w:r>
          </w:p>
        </w:tc>
        <w:tc>
          <w:tcPr>
            <w:tcW w:w="1315" w:type="pct"/>
            <w:vMerge w:val="restart"/>
            <w:vAlign w:val="center"/>
          </w:tcPr>
          <w:p w:rsidR="00392C84" w:rsidRPr="00392C84" w:rsidRDefault="00392C84" w:rsidP="00392C84">
            <w:r w:rsidRPr="00392C84">
              <w:t>0.0096</w:t>
            </w:r>
          </w:p>
        </w:tc>
      </w:tr>
      <w:tr w:rsidR="00392C84" w:rsidRPr="00392C84" w:rsidTr="00392C84">
        <w:trPr>
          <w:trHeight w:val="290"/>
        </w:trPr>
        <w:tc>
          <w:tcPr>
            <w:tcW w:w="1043" w:type="pct"/>
            <w:vMerge/>
            <w:vAlign w:val="center"/>
          </w:tcPr>
          <w:p w:rsidR="00392C84" w:rsidRPr="00392C84" w:rsidRDefault="00392C84" w:rsidP="00392C84"/>
        </w:tc>
        <w:tc>
          <w:tcPr>
            <w:tcW w:w="1317" w:type="pct"/>
            <w:vAlign w:val="center"/>
          </w:tcPr>
          <w:p w:rsidR="00392C84" w:rsidRPr="00392C84" w:rsidRDefault="00392C84" w:rsidP="00392C84">
            <w:r w:rsidRPr="00392C84">
              <w:t>(-2.93)***</w:t>
            </w:r>
          </w:p>
        </w:tc>
        <w:tc>
          <w:tcPr>
            <w:tcW w:w="1325" w:type="pct"/>
            <w:vAlign w:val="center"/>
          </w:tcPr>
          <w:p w:rsidR="00392C84" w:rsidRPr="00392C84" w:rsidRDefault="00392C84" w:rsidP="00392C84">
            <w:r w:rsidRPr="00392C84">
              <w:t>(1.87)*</w:t>
            </w:r>
          </w:p>
        </w:tc>
        <w:tc>
          <w:tcPr>
            <w:tcW w:w="1315" w:type="pct"/>
            <w:vMerge/>
            <w:vAlign w:val="center"/>
          </w:tcPr>
          <w:p w:rsidR="00392C84" w:rsidRPr="00392C84" w:rsidRDefault="00392C84" w:rsidP="00392C84"/>
        </w:tc>
      </w:tr>
    </w:tbl>
    <w:p w:rsidR="00392C84" w:rsidRPr="0048311E" w:rsidRDefault="00392C84" w:rsidP="00392C84">
      <w:pPr>
        <w:rPr>
          <w:sz w:val="10"/>
        </w:rPr>
      </w:pPr>
    </w:p>
    <w:p w:rsidR="00392C84" w:rsidRPr="00392C84" w:rsidRDefault="00392C84" w:rsidP="00392C84">
      <w:r w:rsidRPr="00392C84">
        <w:rPr>
          <w:b/>
        </w:rPr>
        <w:t>Panel B. 실현변동성 효과</w:t>
      </w:r>
    </w:p>
    <w:tbl>
      <w:tblPr>
        <w:tblStyle w:val="ac"/>
        <w:tblW w:w="5000" w:type="pct"/>
        <w:tblBorders>
          <w:left w:val="none" w:sz="0" w:space="0" w:color="auto"/>
          <w:right w:val="none" w:sz="0" w:space="0" w:color="auto"/>
          <w:insideH w:val="none" w:sz="0" w:space="0" w:color="auto"/>
          <w:insideV w:val="none" w:sz="0" w:space="0" w:color="auto"/>
        </w:tblBorders>
        <w:tblLook w:val="04A0"/>
      </w:tblPr>
      <w:tblGrid>
        <w:gridCol w:w="1928"/>
        <w:gridCol w:w="2434"/>
        <w:gridCol w:w="2449"/>
        <w:gridCol w:w="2431"/>
      </w:tblGrid>
      <w:tr w:rsidR="00392C84" w:rsidRPr="00392C84" w:rsidTr="00392C84">
        <w:tc>
          <w:tcPr>
            <w:tcW w:w="1043" w:type="pct"/>
            <w:tcBorders>
              <w:top w:val="single" w:sz="4" w:space="0" w:color="auto"/>
              <w:bottom w:val="single" w:sz="4" w:space="0" w:color="auto"/>
            </w:tcBorders>
            <w:vAlign w:val="center"/>
          </w:tcPr>
          <w:p w:rsidR="00392C84" w:rsidRPr="00392C84" w:rsidRDefault="00392C84" w:rsidP="00392C84"/>
        </w:tc>
        <w:tc>
          <w:tcPr>
            <w:tcW w:w="1317" w:type="pct"/>
            <w:tcBorders>
              <w:top w:val="single" w:sz="4" w:space="0" w:color="auto"/>
              <w:bottom w:val="single" w:sz="4" w:space="0" w:color="auto"/>
            </w:tcBorders>
            <w:vAlign w:val="center"/>
          </w:tcPr>
          <w:p w:rsidR="00392C84" w:rsidRPr="00392C84" w:rsidRDefault="00392C84" w:rsidP="00392C84">
            <w:r w:rsidRPr="00392C84">
              <w:t>Constant</w:t>
            </w:r>
          </w:p>
        </w:tc>
        <w:tc>
          <w:tcPr>
            <w:tcW w:w="1325" w:type="pct"/>
            <w:tcBorders>
              <w:top w:val="single" w:sz="4" w:space="0" w:color="auto"/>
              <w:bottom w:val="single" w:sz="4" w:space="0" w:color="auto"/>
            </w:tcBorders>
            <w:vAlign w:val="center"/>
          </w:tcPr>
          <w:p w:rsidR="00392C84" w:rsidRPr="00392C84" w:rsidRDefault="00392C84" w:rsidP="00392C84">
            <w:r w:rsidRPr="00392C84">
              <w:t xml:space="preserve">Realized </w:t>
            </w:r>
            <w:proofErr w:type="spellStart"/>
            <w:r w:rsidRPr="00392C84">
              <w:t>vol</w:t>
            </w:r>
            <w:proofErr w:type="spellEnd"/>
            <w:r w:rsidRPr="00392C84">
              <w:t xml:space="preserve"> change</w:t>
            </w:r>
          </w:p>
        </w:tc>
        <w:tc>
          <w:tcPr>
            <w:tcW w:w="1315" w:type="pct"/>
            <w:tcBorders>
              <w:top w:val="single" w:sz="4" w:space="0" w:color="auto"/>
              <w:bottom w:val="single" w:sz="4" w:space="0" w:color="auto"/>
            </w:tcBorders>
            <w:vAlign w:val="center"/>
          </w:tcPr>
          <w:p w:rsidR="00392C84" w:rsidRPr="00392C84" w:rsidRDefault="00392C84" w:rsidP="00392C84">
            <w:r w:rsidRPr="00392C84">
              <w:t>Adj. R-squared</w:t>
            </w:r>
          </w:p>
        </w:tc>
      </w:tr>
      <w:tr w:rsidR="00392C84" w:rsidRPr="00392C84" w:rsidTr="00392C84">
        <w:trPr>
          <w:trHeight w:val="60"/>
        </w:trPr>
        <w:tc>
          <w:tcPr>
            <w:tcW w:w="1043" w:type="pct"/>
            <w:vMerge w:val="restart"/>
            <w:vAlign w:val="center"/>
          </w:tcPr>
          <w:p w:rsidR="00392C84" w:rsidRPr="00392C84" w:rsidRDefault="00392C84" w:rsidP="00392C84">
            <w:proofErr w:type="spellStart"/>
            <w:r w:rsidRPr="00392C84">
              <w:t>Decile</w:t>
            </w:r>
            <w:proofErr w:type="spellEnd"/>
            <w:r w:rsidRPr="00392C84">
              <w:t xml:space="preserve"> 1</w:t>
            </w:r>
          </w:p>
        </w:tc>
        <w:tc>
          <w:tcPr>
            <w:tcW w:w="1317" w:type="pct"/>
            <w:vAlign w:val="center"/>
          </w:tcPr>
          <w:p w:rsidR="00392C84" w:rsidRPr="00392C84" w:rsidRDefault="00392C84" w:rsidP="00392C84">
            <w:r w:rsidRPr="00392C84">
              <w:t>0.0925</w:t>
            </w:r>
          </w:p>
        </w:tc>
        <w:tc>
          <w:tcPr>
            <w:tcW w:w="1325" w:type="pct"/>
            <w:vAlign w:val="center"/>
          </w:tcPr>
          <w:p w:rsidR="00392C84" w:rsidRPr="00392C84" w:rsidRDefault="00392C84" w:rsidP="00392C84">
            <w:r w:rsidRPr="00392C84">
              <w:t>6005.10</w:t>
            </w:r>
          </w:p>
        </w:tc>
        <w:tc>
          <w:tcPr>
            <w:tcW w:w="1315" w:type="pct"/>
            <w:vMerge w:val="restart"/>
            <w:vAlign w:val="center"/>
          </w:tcPr>
          <w:p w:rsidR="00392C84" w:rsidRPr="00392C84" w:rsidRDefault="00392C84" w:rsidP="00392C84">
            <w:r w:rsidRPr="00392C84">
              <w:t>0.6561</w:t>
            </w:r>
          </w:p>
        </w:tc>
      </w:tr>
      <w:tr w:rsidR="00392C84" w:rsidRPr="00392C84" w:rsidTr="00392C84">
        <w:trPr>
          <w:trHeight w:val="142"/>
        </w:trPr>
        <w:tc>
          <w:tcPr>
            <w:tcW w:w="1043" w:type="pct"/>
            <w:vMerge/>
            <w:vAlign w:val="center"/>
          </w:tcPr>
          <w:p w:rsidR="00392C84" w:rsidRPr="00392C84" w:rsidRDefault="00392C84" w:rsidP="00392C84"/>
        </w:tc>
        <w:tc>
          <w:tcPr>
            <w:tcW w:w="1317" w:type="pct"/>
            <w:vAlign w:val="center"/>
          </w:tcPr>
          <w:p w:rsidR="00392C84" w:rsidRPr="00392C84" w:rsidRDefault="00392C84" w:rsidP="00392C84">
            <w:r w:rsidRPr="00392C84">
              <w:t>(0.30)</w:t>
            </w:r>
          </w:p>
        </w:tc>
        <w:tc>
          <w:tcPr>
            <w:tcW w:w="1325" w:type="pct"/>
            <w:vAlign w:val="center"/>
          </w:tcPr>
          <w:p w:rsidR="00392C84" w:rsidRPr="00392C84" w:rsidRDefault="00392C84" w:rsidP="00392C84">
            <w:r w:rsidRPr="00392C84">
              <w:t>(7.83)***</w:t>
            </w:r>
          </w:p>
        </w:tc>
        <w:tc>
          <w:tcPr>
            <w:tcW w:w="1315" w:type="pct"/>
            <w:vMerge/>
            <w:vAlign w:val="center"/>
          </w:tcPr>
          <w:p w:rsidR="00392C84" w:rsidRPr="00392C84" w:rsidRDefault="00392C84" w:rsidP="00392C84"/>
        </w:tc>
      </w:tr>
      <w:tr w:rsidR="00392C84" w:rsidRPr="00392C84" w:rsidTr="00392C84">
        <w:trPr>
          <w:trHeight w:val="142"/>
        </w:trPr>
        <w:tc>
          <w:tcPr>
            <w:tcW w:w="1043" w:type="pct"/>
            <w:vMerge w:val="restart"/>
            <w:vAlign w:val="center"/>
          </w:tcPr>
          <w:p w:rsidR="00392C84" w:rsidRPr="00392C84" w:rsidRDefault="00392C84" w:rsidP="00392C84">
            <w:proofErr w:type="spellStart"/>
            <w:r w:rsidRPr="00392C84">
              <w:t>Decile</w:t>
            </w:r>
            <w:proofErr w:type="spellEnd"/>
            <w:r w:rsidRPr="00392C84">
              <w:t xml:space="preserve"> 10</w:t>
            </w:r>
          </w:p>
        </w:tc>
        <w:tc>
          <w:tcPr>
            <w:tcW w:w="1317" w:type="pct"/>
            <w:vAlign w:val="center"/>
          </w:tcPr>
          <w:p w:rsidR="00392C84" w:rsidRPr="00392C84" w:rsidRDefault="00392C84" w:rsidP="00392C84">
            <w:r w:rsidRPr="00392C84">
              <w:t>-0.9853</w:t>
            </w:r>
          </w:p>
        </w:tc>
        <w:tc>
          <w:tcPr>
            <w:tcW w:w="1325" w:type="pct"/>
            <w:vAlign w:val="center"/>
          </w:tcPr>
          <w:p w:rsidR="00392C84" w:rsidRPr="00392C84" w:rsidRDefault="00392C84" w:rsidP="00392C84">
            <w:r w:rsidRPr="00392C84">
              <w:t>3800.38</w:t>
            </w:r>
          </w:p>
        </w:tc>
        <w:tc>
          <w:tcPr>
            <w:tcW w:w="1315" w:type="pct"/>
            <w:vMerge w:val="restart"/>
            <w:vAlign w:val="center"/>
          </w:tcPr>
          <w:p w:rsidR="00392C84" w:rsidRPr="00392C84" w:rsidRDefault="00392C84" w:rsidP="00392C84">
            <w:r w:rsidRPr="00392C84">
              <w:t>0.2420</w:t>
            </w:r>
          </w:p>
        </w:tc>
      </w:tr>
      <w:tr w:rsidR="00392C84" w:rsidRPr="00392C84" w:rsidTr="00392C84">
        <w:trPr>
          <w:trHeight w:val="142"/>
        </w:trPr>
        <w:tc>
          <w:tcPr>
            <w:tcW w:w="1043" w:type="pct"/>
            <w:vMerge/>
            <w:vAlign w:val="center"/>
          </w:tcPr>
          <w:p w:rsidR="00392C84" w:rsidRPr="00392C84" w:rsidRDefault="00392C84" w:rsidP="00392C84"/>
        </w:tc>
        <w:tc>
          <w:tcPr>
            <w:tcW w:w="1317" w:type="pct"/>
            <w:vAlign w:val="center"/>
          </w:tcPr>
          <w:p w:rsidR="00392C84" w:rsidRPr="00392C84" w:rsidRDefault="00392C84" w:rsidP="00392C84">
            <w:r w:rsidRPr="00392C84">
              <w:t>(-2.41)***</w:t>
            </w:r>
          </w:p>
        </w:tc>
        <w:tc>
          <w:tcPr>
            <w:tcW w:w="1325" w:type="pct"/>
            <w:vAlign w:val="center"/>
          </w:tcPr>
          <w:p w:rsidR="00392C84" w:rsidRPr="00392C84" w:rsidRDefault="00392C84" w:rsidP="00392C84">
            <w:r w:rsidRPr="00392C84">
              <w:t>(3.05)***</w:t>
            </w:r>
          </w:p>
        </w:tc>
        <w:tc>
          <w:tcPr>
            <w:tcW w:w="1315" w:type="pct"/>
            <w:vMerge/>
            <w:vAlign w:val="center"/>
          </w:tcPr>
          <w:p w:rsidR="00392C84" w:rsidRPr="00392C84" w:rsidRDefault="00392C84" w:rsidP="00392C84"/>
        </w:tc>
      </w:tr>
    </w:tbl>
    <w:p w:rsidR="00392C84" w:rsidRDefault="00392C84" w:rsidP="00392C84"/>
    <w:p w:rsidR="005E0483" w:rsidRPr="00392C84" w:rsidRDefault="005E0483" w:rsidP="00392C84"/>
    <w:p w:rsidR="005E0483" w:rsidRDefault="005E0483" w:rsidP="005E0483">
      <w:pPr>
        <w:jc w:val="center"/>
        <w:rPr>
          <w:b/>
        </w:rPr>
      </w:pPr>
      <w:r>
        <w:rPr>
          <w:rFonts w:hint="eastAsia"/>
          <w:b/>
        </w:rPr>
        <w:t>&lt;</w:t>
      </w:r>
      <w:r w:rsidRPr="00392C84">
        <w:rPr>
          <w:b/>
        </w:rPr>
        <w:t>표 1</w:t>
      </w:r>
      <w:r>
        <w:rPr>
          <w:rFonts w:hint="eastAsia"/>
          <w:b/>
        </w:rPr>
        <w:t>1&gt;</w:t>
      </w:r>
      <w:r w:rsidRPr="00392C84">
        <w:rPr>
          <w:b/>
        </w:rPr>
        <w:t xml:space="preserve"> 거래량 효과와 실현변동성 효과를 반영한 투자회사와 변동성 변화의 관계 (K=0)</w:t>
      </w:r>
    </w:p>
    <w:p w:rsidR="005E0483" w:rsidRDefault="005E0483" w:rsidP="005E0483">
      <w:proofErr w:type="spellStart"/>
      <w:r w:rsidRPr="00392C84">
        <w:t>괄호안의</w:t>
      </w:r>
      <w:proofErr w:type="spellEnd"/>
      <w:r w:rsidRPr="00392C84">
        <w:t xml:space="preserve"> 값은 이분산성과 자기상관성을 고려한, </w:t>
      </w:r>
      <w:proofErr w:type="spellStart"/>
      <w:r w:rsidRPr="00392C84">
        <w:t>Newey</w:t>
      </w:r>
      <w:proofErr w:type="spellEnd"/>
      <w:r w:rsidRPr="00392C84">
        <w:t xml:space="preserve">-West HAC </w:t>
      </w:r>
      <w:proofErr w:type="spellStart"/>
      <w:r w:rsidRPr="00392C84">
        <w:t>공분산</w:t>
      </w:r>
      <w:proofErr w:type="spellEnd"/>
      <w:r w:rsidRPr="00392C84">
        <w:t xml:space="preserve"> 방법을 사용하여 계산된 t-통계량이다. *, **, *** 는 각각 10%, 5%, 1%의 신뢰수준 유의성을 나타낸다.</w:t>
      </w:r>
    </w:p>
    <w:p w:rsidR="005E0483" w:rsidRPr="00354604" w:rsidRDefault="005E0483" w:rsidP="005E0483">
      <w:pPr>
        <w:rPr>
          <w:sz w:val="10"/>
        </w:rPr>
      </w:pPr>
    </w:p>
    <w:p w:rsidR="005E0483" w:rsidRPr="00392C84" w:rsidRDefault="005E0483" w:rsidP="005E0483">
      <w:pPr>
        <w:rPr>
          <w:b/>
        </w:rPr>
      </w:pPr>
      <w:r w:rsidRPr="00392C84">
        <w:rPr>
          <w:b/>
        </w:rPr>
        <w:t xml:space="preserve">Panel A. 거래량 효과 </w:t>
      </w:r>
    </w:p>
    <w:tbl>
      <w:tblPr>
        <w:tblStyle w:val="ac"/>
        <w:tblW w:w="5000" w:type="pct"/>
        <w:tblBorders>
          <w:left w:val="none" w:sz="0" w:space="0" w:color="auto"/>
          <w:right w:val="none" w:sz="0" w:space="0" w:color="auto"/>
          <w:insideH w:val="none" w:sz="0" w:space="0" w:color="auto"/>
          <w:insideV w:val="none" w:sz="0" w:space="0" w:color="auto"/>
        </w:tblBorders>
        <w:tblLook w:val="04A0"/>
      </w:tblPr>
      <w:tblGrid>
        <w:gridCol w:w="1928"/>
        <w:gridCol w:w="2434"/>
        <w:gridCol w:w="2449"/>
        <w:gridCol w:w="2431"/>
      </w:tblGrid>
      <w:tr w:rsidR="005E0483" w:rsidRPr="00392C84" w:rsidTr="005E0483">
        <w:tc>
          <w:tcPr>
            <w:tcW w:w="1043" w:type="pct"/>
            <w:tcBorders>
              <w:top w:val="single" w:sz="4" w:space="0" w:color="auto"/>
              <w:bottom w:val="single" w:sz="4" w:space="0" w:color="auto"/>
            </w:tcBorders>
            <w:vAlign w:val="center"/>
          </w:tcPr>
          <w:p w:rsidR="005E0483" w:rsidRPr="00392C84" w:rsidRDefault="005E0483" w:rsidP="005E0483"/>
        </w:tc>
        <w:tc>
          <w:tcPr>
            <w:tcW w:w="1317" w:type="pct"/>
            <w:tcBorders>
              <w:top w:val="single" w:sz="4" w:space="0" w:color="auto"/>
              <w:bottom w:val="single" w:sz="4" w:space="0" w:color="auto"/>
            </w:tcBorders>
            <w:vAlign w:val="center"/>
          </w:tcPr>
          <w:p w:rsidR="005E0483" w:rsidRPr="00392C84" w:rsidRDefault="005E0483" w:rsidP="005E0483">
            <w:r w:rsidRPr="00392C84">
              <w:t>Constant</w:t>
            </w:r>
          </w:p>
        </w:tc>
        <w:tc>
          <w:tcPr>
            <w:tcW w:w="1325" w:type="pct"/>
            <w:tcBorders>
              <w:top w:val="single" w:sz="4" w:space="0" w:color="auto"/>
              <w:bottom w:val="single" w:sz="4" w:space="0" w:color="auto"/>
            </w:tcBorders>
            <w:vAlign w:val="center"/>
          </w:tcPr>
          <w:p w:rsidR="005E0483" w:rsidRPr="00392C84" w:rsidRDefault="005E0483" w:rsidP="005E0483">
            <w:r w:rsidRPr="00392C84">
              <w:t>Volume(</w:t>
            </w:r>
            <w:proofErr w:type="spellStart"/>
            <w:r w:rsidRPr="00392C84">
              <w:t>i</w:t>
            </w:r>
            <w:proofErr w:type="spellEnd"/>
            <w:r w:rsidRPr="00392C84">
              <w:t>)</w:t>
            </w:r>
          </w:p>
        </w:tc>
        <w:tc>
          <w:tcPr>
            <w:tcW w:w="1315" w:type="pct"/>
            <w:tcBorders>
              <w:top w:val="single" w:sz="4" w:space="0" w:color="auto"/>
              <w:bottom w:val="single" w:sz="4" w:space="0" w:color="auto"/>
            </w:tcBorders>
            <w:vAlign w:val="center"/>
          </w:tcPr>
          <w:p w:rsidR="005E0483" w:rsidRPr="00392C84" w:rsidRDefault="005E0483" w:rsidP="005E0483">
            <w:r w:rsidRPr="00392C84">
              <w:t>Adj. R-squared</w:t>
            </w:r>
          </w:p>
        </w:tc>
      </w:tr>
      <w:tr w:rsidR="005E0483" w:rsidRPr="00392C84" w:rsidTr="005E0483">
        <w:trPr>
          <w:trHeight w:val="426"/>
        </w:trPr>
        <w:tc>
          <w:tcPr>
            <w:tcW w:w="1043" w:type="pct"/>
            <w:vMerge w:val="restart"/>
            <w:tcBorders>
              <w:top w:val="single" w:sz="4" w:space="0" w:color="auto"/>
            </w:tcBorders>
            <w:vAlign w:val="center"/>
          </w:tcPr>
          <w:p w:rsidR="005E0483" w:rsidRPr="00392C84" w:rsidRDefault="005E0483" w:rsidP="005E0483">
            <w:proofErr w:type="spellStart"/>
            <w:r w:rsidRPr="00392C84">
              <w:t>Decile</w:t>
            </w:r>
            <w:proofErr w:type="spellEnd"/>
            <w:r w:rsidRPr="00392C84">
              <w:t xml:space="preserve"> 1</w:t>
            </w:r>
          </w:p>
        </w:tc>
        <w:tc>
          <w:tcPr>
            <w:tcW w:w="1317" w:type="pct"/>
            <w:tcBorders>
              <w:top w:val="single" w:sz="4" w:space="0" w:color="auto"/>
            </w:tcBorders>
            <w:vAlign w:val="center"/>
          </w:tcPr>
          <w:p w:rsidR="005E0483" w:rsidRPr="00392C84" w:rsidRDefault="005E0483" w:rsidP="005E0483">
            <w:r w:rsidRPr="00392C84">
              <w:t>-2.4746</w:t>
            </w:r>
          </w:p>
        </w:tc>
        <w:tc>
          <w:tcPr>
            <w:tcW w:w="1325" w:type="pct"/>
            <w:tcBorders>
              <w:top w:val="single" w:sz="4" w:space="0" w:color="auto"/>
            </w:tcBorders>
            <w:vAlign w:val="center"/>
          </w:tcPr>
          <w:p w:rsidR="005E0483" w:rsidRPr="00392C84" w:rsidRDefault="005E0483" w:rsidP="005E0483">
            <w:r w:rsidRPr="00392C84">
              <w:t>1.38E-08</w:t>
            </w:r>
          </w:p>
        </w:tc>
        <w:tc>
          <w:tcPr>
            <w:tcW w:w="1315" w:type="pct"/>
            <w:vMerge w:val="restart"/>
            <w:tcBorders>
              <w:top w:val="single" w:sz="4" w:space="0" w:color="auto"/>
            </w:tcBorders>
            <w:vAlign w:val="center"/>
          </w:tcPr>
          <w:p w:rsidR="005E0483" w:rsidRPr="00392C84" w:rsidRDefault="005E0483" w:rsidP="005E0483">
            <w:r w:rsidRPr="00392C84">
              <w:t>0.0929</w:t>
            </w:r>
          </w:p>
        </w:tc>
      </w:tr>
      <w:tr w:rsidR="005E0483" w:rsidRPr="00392C84" w:rsidTr="005E0483">
        <w:trPr>
          <w:trHeight w:val="290"/>
        </w:trPr>
        <w:tc>
          <w:tcPr>
            <w:tcW w:w="1043" w:type="pct"/>
            <w:vMerge/>
            <w:vAlign w:val="center"/>
          </w:tcPr>
          <w:p w:rsidR="005E0483" w:rsidRPr="00392C84" w:rsidRDefault="005E0483" w:rsidP="005E0483"/>
        </w:tc>
        <w:tc>
          <w:tcPr>
            <w:tcW w:w="1317" w:type="pct"/>
            <w:vAlign w:val="center"/>
          </w:tcPr>
          <w:p w:rsidR="005E0483" w:rsidRPr="00392C84" w:rsidRDefault="005E0483" w:rsidP="005E0483">
            <w:r w:rsidRPr="00392C84">
              <w:t>(-3.70)***</w:t>
            </w:r>
          </w:p>
        </w:tc>
        <w:tc>
          <w:tcPr>
            <w:tcW w:w="1325" w:type="pct"/>
            <w:vAlign w:val="center"/>
          </w:tcPr>
          <w:p w:rsidR="005E0483" w:rsidRPr="00392C84" w:rsidRDefault="005E0483" w:rsidP="005E0483">
            <w:r w:rsidRPr="00392C84">
              <w:t>(2.41)***</w:t>
            </w:r>
          </w:p>
        </w:tc>
        <w:tc>
          <w:tcPr>
            <w:tcW w:w="1315" w:type="pct"/>
            <w:vMerge/>
            <w:vAlign w:val="center"/>
          </w:tcPr>
          <w:p w:rsidR="005E0483" w:rsidRPr="00392C84" w:rsidRDefault="005E0483" w:rsidP="005E0483"/>
        </w:tc>
      </w:tr>
      <w:tr w:rsidR="005E0483" w:rsidRPr="00392C84" w:rsidTr="005E0483">
        <w:trPr>
          <w:trHeight w:val="290"/>
        </w:trPr>
        <w:tc>
          <w:tcPr>
            <w:tcW w:w="1043" w:type="pct"/>
            <w:vMerge w:val="restart"/>
            <w:vAlign w:val="center"/>
          </w:tcPr>
          <w:p w:rsidR="005E0483" w:rsidRPr="00392C84" w:rsidRDefault="005E0483" w:rsidP="005E0483">
            <w:proofErr w:type="spellStart"/>
            <w:r w:rsidRPr="00392C84">
              <w:t>Decile</w:t>
            </w:r>
            <w:proofErr w:type="spellEnd"/>
            <w:r w:rsidRPr="00392C84">
              <w:t xml:space="preserve"> 10</w:t>
            </w:r>
          </w:p>
        </w:tc>
        <w:tc>
          <w:tcPr>
            <w:tcW w:w="1317" w:type="pct"/>
            <w:vAlign w:val="center"/>
          </w:tcPr>
          <w:p w:rsidR="005E0483" w:rsidRPr="00392C84" w:rsidRDefault="005E0483" w:rsidP="005E0483">
            <w:r w:rsidRPr="00392C84">
              <w:t>-0.2727</w:t>
            </w:r>
          </w:p>
        </w:tc>
        <w:tc>
          <w:tcPr>
            <w:tcW w:w="1325" w:type="pct"/>
            <w:vAlign w:val="center"/>
          </w:tcPr>
          <w:p w:rsidR="005E0483" w:rsidRPr="00392C84" w:rsidRDefault="005E0483" w:rsidP="005E0483">
            <w:r w:rsidRPr="00392C84">
              <w:t>3.10E-09</w:t>
            </w:r>
          </w:p>
        </w:tc>
        <w:tc>
          <w:tcPr>
            <w:tcW w:w="1315" w:type="pct"/>
            <w:vMerge w:val="restart"/>
            <w:vAlign w:val="center"/>
          </w:tcPr>
          <w:p w:rsidR="005E0483" w:rsidRPr="00392C84" w:rsidRDefault="005E0483" w:rsidP="005E0483">
            <w:r w:rsidRPr="00392C84">
              <w:t>-0.0231</w:t>
            </w:r>
          </w:p>
        </w:tc>
      </w:tr>
      <w:tr w:rsidR="005E0483" w:rsidRPr="00392C84" w:rsidTr="005E0483">
        <w:trPr>
          <w:trHeight w:val="290"/>
        </w:trPr>
        <w:tc>
          <w:tcPr>
            <w:tcW w:w="1043" w:type="pct"/>
            <w:vMerge/>
            <w:vAlign w:val="center"/>
          </w:tcPr>
          <w:p w:rsidR="005E0483" w:rsidRPr="00392C84" w:rsidRDefault="005E0483" w:rsidP="005E0483"/>
        </w:tc>
        <w:tc>
          <w:tcPr>
            <w:tcW w:w="1317" w:type="pct"/>
            <w:vAlign w:val="center"/>
          </w:tcPr>
          <w:p w:rsidR="005E0483" w:rsidRPr="00392C84" w:rsidRDefault="005E0483" w:rsidP="005E0483">
            <w:r w:rsidRPr="00392C84">
              <w:t>(-0.3)</w:t>
            </w:r>
          </w:p>
        </w:tc>
        <w:tc>
          <w:tcPr>
            <w:tcW w:w="1325" w:type="pct"/>
            <w:vAlign w:val="center"/>
          </w:tcPr>
          <w:p w:rsidR="005E0483" w:rsidRPr="00392C84" w:rsidRDefault="005E0483" w:rsidP="005E0483">
            <w:r w:rsidRPr="00392C84">
              <w:t>(0.47)</w:t>
            </w:r>
          </w:p>
        </w:tc>
        <w:tc>
          <w:tcPr>
            <w:tcW w:w="1315" w:type="pct"/>
            <w:vMerge/>
            <w:vAlign w:val="center"/>
          </w:tcPr>
          <w:p w:rsidR="005E0483" w:rsidRPr="00392C84" w:rsidRDefault="005E0483" w:rsidP="005E0483"/>
        </w:tc>
      </w:tr>
    </w:tbl>
    <w:p w:rsidR="005E0483" w:rsidRPr="00354604" w:rsidRDefault="005E0483" w:rsidP="005E0483">
      <w:pPr>
        <w:rPr>
          <w:b/>
          <w:sz w:val="10"/>
        </w:rPr>
      </w:pPr>
    </w:p>
    <w:p w:rsidR="005E0483" w:rsidRPr="00392C84" w:rsidRDefault="005E0483" w:rsidP="005E0483">
      <w:r w:rsidRPr="00392C84">
        <w:rPr>
          <w:b/>
        </w:rPr>
        <w:t>Panel B. 실현변동성 효과</w:t>
      </w:r>
    </w:p>
    <w:tbl>
      <w:tblPr>
        <w:tblStyle w:val="ac"/>
        <w:tblW w:w="5000" w:type="pct"/>
        <w:tblBorders>
          <w:left w:val="none" w:sz="0" w:space="0" w:color="auto"/>
          <w:right w:val="none" w:sz="0" w:space="0" w:color="auto"/>
          <w:insideH w:val="none" w:sz="0" w:space="0" w:color="auto"/>
          <w:insideV w:val="none" w:sz="0" w:space="0" w:color="auto"/>
        </w:tblBorders>
        <w:tblLook w:val="04A0"/>
      </w:tblPr>
      <w:tblGrid>
        <w:gridCol w:w="1928"/>
        <w:gridCol w:w="2434"/>
        <w:gridCol w:w="2449"/>
        <w:gridCol w:w="2431"/>
      </w:tblGrid>
      <w:tr w:rsidR="005E0483" w:rsidRPr="00392C84" w:rsidTr="005E0483">
        <w:tc>
          <w:tcPr>
            <w:tcW w:w="1043" w:type="pct"/>
            <w:tcBorders>
              <w:top w:val="single" w:sz="4" w:space="0" w:color="auto"/>
              <w:bottom w:val="single" w:sz="4" w:space="0" w:color="auto"/>
            </w:tcBorders>
            <w:vAlign w:val="center"/>
          </w:tcPr>
          <w:p w:rsidR="005E0483" w:rsidRPr="00392C84" w:rsidRDefault="005E0483" w:rsidP="005E0483"/>
        </w:tc>
        <w:tc>
          <w:tcPr>
            <w:tcW w:w="1317" w:type="pct"/>
            <w:tcBorders>
              <w:top w:val="single" w:sz="4" w:space="0" w:color="auto"/>
              <w:bottom w:val="single" w:sz="4" w:space="0" w:color="auto"/>
            </w:tcBorders>
            <w:vAlign w:val="center"/>
          </w:tcPr>
          <w:p w:rsidR="005E0483" w:rsidRPr="00392C84" w:rsidRDefault="005E0483" w:rsidP="005E0483">
            <w:r w:rsidRPr="00392C84">
              <w:t>Constant</w:t>
            </w:r>
          </w:p>
        </w:tc>
        <w:tc>
          <w:tcPr>
            <w:tcW w:w="1325" w:type="pct"/>
            <w:tcBorders>
              <w:top w:val="single" w:sz="4" w:space="0" w:color="auto"/>
              <w:bottom w:val="single" w:sz="4" w:space="0" w:color="auto"/>
            </w:tcBorders>
            <w:vAlign w:val="center"/>
          </w:tcPr>
          <w:p w:rsidR="005E0483" w:rsidRPr="00392C84" w:rsidRDefault="005E0483" w:rsidP="005E0483">
            <w:r w:rsidRPr="00392C84">
              <w:t xml:space="preserve">Realized </w:t>
            </w:r>
            <w:proofErr w:type="spellStart"/>
            <w:r w:rsidRPr="00392C84">
              <w:t>vol</w:t>
            </w:r>
            <w:proofErr w:type="spellEnd"/>
            <w:r w:rsidRPr="00392C84">
              <w:t xml:space="preserve"> change (</w:t>
            </w:r>
            <w:proofErr w:type="spellStart"/>
            <w:r w:rsidRPr="00392C84">
              <w:t>i</w:t>
            </w:r>
            <w:proofErr w:type="spellEnd"/>
            <w:r w:rsidRPr="00392C84">
              <w:t>)</w:t>
            </w:r>
          </w:p>
        </w:tc>
        <w:tc>
          <w:tcPr>
            <w:tcW w:w="1315" w:type="pct"/>
            <w:tcBorders>
              <w:top w:val="single" w:sz="4" w:space="0" w:color="auto"/>
              <w:bottom w:val="single" w:sz="4" w:space="0" w:color="auto"/>
            </w:tcBorders>
            <w:vAlign w:val="center"/>
          </w:tcPr>
          <w:p w:rsidR="005E0483" w:rsidRPr="00392C84" w:rsidRDefault="005E0483" w:rsidP="005E0483">
            <w:r w:rsidRPr="00392C84">
              <w:t>Adj. R-squared</w:t>
            </w:r>
          </w:p>
        </w:tc>
      </w:tr>
      <w:tr w:rsidR="005E0483" w:rsidRPr="00392C84" w:rsidTr="005E0483">
        <w:trPr>
          <w:trHeight w:val="279"/>
        </w:trPr>
        <w:tc>
          <w:tcPr>
            <w:tcW w:w="1043" w:type="pct"/>
            <w:vMerge w:val="restart"/>
            <w:vAlign w:val="center"/>
          </w:tcPr>
          <w:p w:rsidR="005E0483" w:rsidRPr="00392C84" w:rsidRDefault="005E0483" w:rsidP="005E0483">
            <w:proofErr w:type="spellStart"/>
            <w:r w:rsidRPr="00392C84">
              <w:t>Decile</w:t>
            </w:r>
            <w:proofErr w:type="spellEnd"/>
            <w:r w:rsidRPr="00392C84">
              <w:t xml:space="preserve"> 1</w:t>
            </w:r>
          </w:p>
        </w:tc>
        <w:tc>
          <w:tcPr>
            <w:tcW w:w="1317" w:type="pct"/>
            <w:vAlign w:val="center"/>
          </w:tcPr>
          <w:p w:rsidR="005E0483" w:rsidRPr="00392C84" w:rsidRDefault="005E0483" w:rsidP="005E0483">
            <w:r w:rsidRPr="00392C84">
              <w:t>-0.7941</w:t>
            </w:r>
          </w:p>
        </w:tc>
        <w:tc>
          <w:tcPr>
            <w:tcW w:w="1325" w:type="pct"/>
            <w:vAlign w:val="center"/>
          </w:tcPr>
          <w:p w:rsidR="005E0483" w:rsidRPr="00392C84" w:rsidRDefault="005E0483" w:rsidP="005E0483">
            <w:r w:rsidRPr="00392C84">
              <w:t>3095.7590</w:t>
            </w:r>
          </w:p>
        </w:tc>
        <w:tc>
          <w:tcPr>
            <w:tcW w:w="1315" w:type="pct"/>
            <w:vMerge w:val="restart"/>
            <w:vAlign w:val="center"/>
          </w:tcPr>
          <w:p w:rsidR="005E0483" w:rsidRPr="00392C84" w:rsidRDefault="005E0483" w:rsidP="005E0483">
            <w:r w:rsidRPr="00392C84">
              <w:t>0.1831</w:t>
            </w:r>
          </w:p>
        </w:tc>
      </w:tr>
      <w:tr w:rsidR="005E0483" w:rsidRPr="00392C84" w:rsidTr="005E0483">
        <w:trPr>
          <w:trHeight w:val="142"/>
        </w:trPr>
        <w:tc>
          <w:tcPr>
            <w:tcW w:w="1043" w:type="pct"/>
            <w:vMerge/>
            <w:vAlign w:val="center"/>
          </w:tcPr>
          <w:p w:rsidR="005E0483" w:rsidRPr="00392C84" w:rsidRDefault="005E0483" w:rsidP="005E0483"/>
        </w:tc>
        <w:tc>
          <w:tcPr>
            <w:tcW w:w="1317" w:type="pct"/>
            <w:vAlign w:val="center"/>
          </w:tcPr>
          <w:p w:rsidR="005E0483" w:rsidRPr="00392C84" w:rsidRDefault="005E0483" w:rsidP="005E0483">
            <w:r w:rsidRPr="00392C84">
              <w:t>(-2.77)***</w:t>
            </w:r>
          </w:p>
        </w:tc>
        <w:tc>
          <w:tcPr>
            <w:tcW w:w="1325" w:type="pct"/>
            <w:vAlign w:val="center"/>
          </w:tcPr>
          <w:p w:rsidR="005E0483" w:rsidRPr="00392C84" w:rsidRDefault="005E0483" w:rsidP="005E0483">
            <w:r w:rsidRPr="00392C84">
              <w:t>(2.55)***</w:t>
            </w:r>
          </w:p>
        </w:tc>
        <w:tc>
          <w:tcPr>
            <w:tcW w:w="1315" w:type="pct"/>
            <w:vMerge/>
            <w:vAlign w:val="center"/>
          </w:tcPr>
          <w:p w:rsidR="005E0483" w:rsidRPr="00392C84" w:rsidRDefault="005E0483" w:rsidP="005E0483"/>
        </w:tc>
      </w:tr>
      <w:tr w:rsidR="005E0483" w:rsidRPr="00392C84" w:rsidTr="005E0483">
        <w:trPr>
          <w:trHeight w:val="142"/>
        </w:trPr>
        <w:tc>
          <w:tcPr>
            <w:tcW w:w="1043" w:type="pct"/>
            <w:vMerge w:val="restart"/>
            <w:vAlign w:val="center"/>
          </w:tcPr>
          <w:p w:rsidR="005E0483" w:rsidRPr="00392C84" w:rsidRDefault="005E0483" w:rsidP="005E0483">
            <w:proofErr w:type="spellStart"/>
            <w:r w:rsidRPr="00392C84">
              <w:t>Decile</w:t>
            </w:r>
            <w:proofErr w:type="spellEnd"/>
            <w:r w:rsidRPr="00392C84">
              <w:t xml:space="preserve"> 10</w:t>
            </w:r>
          </w:p>
        </w:tc>
        <w:tc>
          <w:tcPr>
            <w:tcW w:w="1317" w:type="pct"/>
            <w:vAlign w:val="center"/>
          </w:tcPr>
          <w:p w:rsidR="005E0483" w:rsidRPr="00392C84" w:rsidRDefault="005E0483" w:rsidP="005E0483">
            <w:r w:rsidRPr="00392C84">
              <w:t>0.1710</w:t>
            </w:r>
          </w:p>
        </w:tc>
        <w:tc>
          <w:tcPr>
            <w:tcW w:w="1325" w:type="pct"/>
            <w:vAlign w:val="center"/>
          </w:tcPr>
          <w:p w:rsidR="005E0483" w:rsidRPr="00392C84" w:rsidRDefault="005E0483" w:rsidP="005E0483">
            <w:r w:rsidRPr="00392C84">
              <w:t>383.3153</w:t>
            </w:r>
          </w:p>
        </w:tc>
        <w:tc>
          <w:tcPr>
            <w:tcW w:w="1315" w:type="pct"/>
            <w:vMerge w:val="restart"/>
            <w:vAlign w:val="center"/>
          </w:tcPr>
          <w:p w:rsidR="005E0483" w:rsidRPr="00392C84" w:rsidRDefault="005E0483" w:rsidP="005E0483">
            <w:r w:rsidRPr="00392C84">
              <w:t>-0.0250</w:t>
            </w:r>
          </w:p>
        </w:tc>
      </w:tr>
      <w:tr w:rsidR="005E0483" w:rsidRPr="00392C84" w:rsidTr="005E0483">
        <w:trPr>
          <w:trHeight w:val="142"/>
        </w:trPr>
        <w:tc>
          <w:tcPr>
            <w:tcW w:w="1043" w:type="pct"/>
            <w:vMerge/>
            <w:vAlign w:val="center"/>
          </w:tcPr>
          <w:p w:rsidR="005E0483" w:rsidRPr="00392C84" w:rsidRDefault="005E0483" w:rsidP="005E0483"/>
        </w:tc>
        <w:tc>
          <w:tcPr>
            <w:tcW w:w="1317" w:type="pct"/>
            <w:vAlign w:val="center"/>
          </w:tcPr>
          <w:p w:rsidR="005E0483" w:rsidRPr="00392C84" w:rsidRDefault="005E0483" w:rsidP="005E0483">
            <w:r w:rsidRPr="00392C84">
              <w:t>(0.45)</w:t>
            </w:r>
          </w:p>
        </w:tc>
        <w:tc>
          <w:tcPr>
            <w:tcW w:w="1325" w:type="pct"/>
            <w:vAlign w:val="center"/>
          </w:tcPr>
          <w:p w:rsidR="005E0483" w:rsidRPr="00392C84" w:rsidRDefault="005E0483" w:rsidP="005E0483">
            <w:r w:rsidRPr="00392C84">
              <w:t>(0.17)</w:t>
            </w:r>
          </w:p>
        </w:tc>
        <w:tc>
          <w:tcPr>
            <w:tcW w:w="1315" w:type="pct"/>
            <w:vMerge/>
            <w:vAlign w:val="center"/>
          </w:tcPr>
          <w:p w:rsidR="005E0483" w:rsidRPr="00392C84" w:rsidRDefault="005E0483" w:rsidP="005E0483"/>
        </w:tc>
      </w:tr>
    </w:tbl>
    <w:p w:rsidR="005E0483" w:rsidRDefault="005E0483" w:rsidP="005E0483"/>
    <w:p w:rsidR="00CF6042" w:rsidRDefault="00CF6042" w:rsidP="00CF6042">
      <w:pPr>
        <w:spacing w:line="276" w:lineRule="auto"/>
      </w:pPr>
    </w:p>
    <w:p w:rsidR="005E0483" w:rsidRDefault="005E0483" w:rsidP="005E0483">
      <w:pPr>
        <w:spacing w:line="276" w:lineRule="auto"/>
        <w:ind w:firstLineChars="100" w:firstLine="200"/>
      </w:pPr>
      <w:r>
        <w:rPr>
          <w:rFonts w:hint="eastAsia"/>
        </w:rPr>
        <w:t xml:space="preserve">&lt;표 10&gt;과 &lt;표 11&gt;은 각각 외국인기관투자자와 국내투자회사의 거래강도와 변동성의 </w:t>
      </w:r>
      <w:proofErr w:type="spellStart"/>
      <w:r>
        <w:rPr>
          <w:rFonts w:hint="eastAsia"/>
        </w:rPr>
        <w:t>관계에대한</w:t>
      </w:r>
      <w:proofErr w:type="spellEnd"/>
      <w:r>
        <w:rPr>
          <w:rFonts w:hint="eastAsia"/>
        </w:rPr>
        <w:t xml:space="preserve"> </w:t>
      </w:r>
      <w:proofErr w:type="spellStart"/>
      <w:r>
        <w:rPr>
          <w:rFonts w:hint="eastAsia"/>
        </w:rPr>
        <w:t>강건성</w:t>
      </w:r>
      <w:proofErr w:type="spellEnd"/>
      <w:r>
        <w:rPr>
          <w:rFonts w:hint="eastAsia"/>
        </w:rPr>
        <w:t xml:space="preserve"> 검증 결과를 보여준다. &lt;</w:t>
      </w:r>
      <w:r w:rsidR="00290146" w:rsidRPr="00290146">
        <w:t>표 10</w:t>
      </w:r>
      <w:r>
        <w:rPr>
          <w:rFonts w:hint="eastAsia"/>
        </w:rPr>
        <w:t>&gt;</w:t>
      </w:r>
      <w:r w:rsidR="00290146" w:rsidRPr="00290146">
        <w:t xml:space="preserve">의 </w:t>
      </w:r>
      <w:r>
        <w:rPr>
          <w:rFonts w:hint="eastAsia"/>
        </w:rPr>
        <w:t>Panel</w:t>
      </w:r>
      <w:r w:rsidR="00290146" w:rsidRPr="00290146">
        <w:t xml:space="preserve"> A는 </w:t>
      </w:r>
      <w:r>
        <w:t>외국인투자자에</w:t>
      </w:r>
      <w:r>
        <w:rPr>
          <w:rFonts w:hint="eastAsia"/>
        </w:rPr>
        <w:t xml:space="preserve"> 대한 </w:t>
      </w:r>
      <w:r w:rsidR="00290146" w:rsidRPr="00290146">
        <w:t xml:space="preserve">거래량효과를 조정한 결과이며, </w:t>
      </w:r>
      <w:r>
        <w:rPr>
          <w:rFonts w:hint="eastAsia"/>
        </w:rPr>
        <w:t>Panel</w:t>
      </w:r>
      <w:r w:rsidR="00290146" w:rsidRPr="00290146">
        <w:t xml:space="preserve"> B는 실현변동성 효과를 조정한 결과이다. 매도강도가 강했던 기간에 대해서는 총거래량은 변동성 변화를 설명할 수 있었으나</w:t>
      </w:r>
      <w:r>
        <w:rPr>
          <w:rFonts w:hint="eastAsia"/>
        </w:rPr>
        <w:t>,</w:t>
      </w:r>
      <w:r w:rsidR="00290146" w:rsidRPr="00290146">
        <w:t xml:space="preserve"> 매수강도가 강했던 기간에 대한 분석(</w:t>
      </w:r>
      <w:proofErr w:type="spellStart"/>
      <w:r w:rsidR="00290146" w:rsidRPr="00290146">
        <w:t>decile</w:t>
      </w:r>
      <w:proofErr w:type="spellEnd"/>
      <w:r w:rsidR="00290146" w:rsidRPr="00290146">
        <w:t xml:space="preserve"> 10)에서는 총거래량이 변동성 누적변화에 유의한 영향력을 가지지 못하였다. 또한 매도거래가 강한 기간에 대해서는 변동성의 변화는 거래량 효과를 조정한 이후에도 유의성을 잃지 않았다. 유사하게 패널 B에서도 매도강도가 강했던 기간에서는 실현변동성이 유의한 설명력을 가지고 있었을 뿐만 아니라, 실현변동성을 조정한 이후에도 변동성 변화가 유의하게 관찰되었다. </w:t>
      </w:r>
    </w:p>
    <w:p w:rsidR="00290146" w:rsidRPr="00290146" w:rsidRDefault="005E0483" w:rsidP="00A343FF">
      <w:pPr>
        <w:spacing w:line="276" w:lineRule="auto"/>
        <w:ind w:firstLineChars="100" w:firstLine="200"/>
      </w:pPr>
      <w:r>
        <w:rPr>
          <w:rFonts w:hint="eastAsia"/>
        </w:rPr>
        <w:t>&lt;표 11&gt;</w:t>
      </w:r>
      <w:r>
        <w:t>의</w:t>
      </w:r>
      <w:r>
        <w:rPr>
          <w:rFonts w:hint="eastAsia"/>
        </w:rPr>
        <w:t xml:space="preserve"> 국내투자회사에 대한 결과는 매도의 경우, 거래량과 실현변동성 효과를 고려한 이후에도 여전히 유의성을 지지한다. 투자회사는 매도성향을 가지고 있으며, 이 매도 성향에 의해 변동성과 비대칭적 관계를 가진다고 보인 바 있다 (&lt;표 9&gt; 참조). </w:t>
      </w:r>
      <w:r w:rsidR="00290146" w:rsidRPr="00290146">
        <w:t xml:space="preserve">투자회사의 </w:t>
      </w:r>
      <w:r w:rsidR="00A343FF">
        <w:rPr>
          <w:rFonts w:hint="eastAsia"/>
        </w:rPr>
        <w:t>유의성</w:t>
      </w:r>
      <w:r w:rsidR="00290146" w:rsidRPr="00290146">
        <w:t xml:space="preserve">은 거래량효과와 실현변동성 효과를 고려한 이후에도 </w:t>
      </w:r>
      <w:r w:rsidR="00A343FF">
        <w:rPr>
          <w:rFonts w:hint="eastAsia"/>
        </w:rPr>
        <w:t xml:space="preserve">여전히 유효하였다. 따라서 앞선 분석 결과의 해석을 지지한다. </w:t>
      </w:r>
      <w:r w:rsidR="00290146" w:rsidRPr="00290146">
        <w:t xml:space="preserve"> </w:t>
      </w:r>
    </w:p>
    <w:p w:rsidR="00CF6042" w:rsidRPr="00290146" w:rsidRDefault="00CF6042" w:rsidP="00CF6042">
      <w:pPr>
        <w:spacing w:line="276" w:lineRule="auto"/>
      </w:pPr>
    </w:p>
    <w:p w:rsidR="00CF6042" w:rsidRDefault="00CF6042" w:rsidP="00CF6042">
      <w:pPr>
        <w:spacing w:line="276" w:lineRule="auto"/>
      </w:pPr>
    </w:p>
    <w:p w:rsidR="00354604" w:rsidRDefault="00354604" w:rsidP="002C7D06"/>
    <w:p w:rsidR="002C7D06" w:rsidRPr="004C0A5F" w:rsidRDefault="002C7D06" w:rsidP="002C7D06">
      <w:pPr>
        <w:pStyle w:val="a9"/>
        <w:numPr>
          <w:ilvl w:val="0"/>
          <w:numId w:val="1"/>
        </w:numPr>
        <w:ind w:leftChars="0"/>
        <w:rPr>
          <w:b/>
          <w:sz w:val="28"/>
        </w:rPr>
      </w:pPr>
      <w:r w:rsidRPr="004C0A5F">
        <w:rPr>
          <w:rFonts w:hint="eastAsia"/>
          <w:b/>
          <w:sz w:val="28"/>
        </w:rPr>
        <w:t>결론</w:t>
      </w:r>
    </w:p>
    <w:p w:rsidR="002606D1" w:rsidRDefault="0076403C" w:rsidP="0076403C">
      <w:pPr>
        <w:spacing w:line="276" w:lineRule="auto"/>
        <w:ind w:firstLineChars="100" w:firstLine="200"/>
      </w:pPr>
      <w:r w:rsidRPr="0076403C">
        <w:rPr>
          <w:rFonts w:hint="eastAsia"/>
        </w:rPr>
        <w:t xml:space="preserve">본 연구는 KOSPI 200 옵션시장에서 기관투자자의 거래행태가 변동성변화와 어떠한 관련성을 가지는지 그리고 각 기관투자자가 언제 변동성 거래를 수행하는지를 분석하였다. 기관투자자는 국내기관투자자와 외국인기관투자자로 구분하고, 각 거래주체의 거래강도는 옵션의 </w:t>
      </w:r>
      <w:proofErr w:type="spellStart"/>
      <w:r w:rsidRPr="0076403C">
        <w:rPr>
          <w:rFonts w:hint="eastAsia"/>
        </w:rPr>
        <w:t>매수량과</w:t>
      </w:r>
      <w:proofErr w:type="spellEnd"/>
      <w:r w:rsidRPr="0076403C">
        <w:rPr>
          <w:rFonts w:hint="eastAsia"/>
        </w:rPr>
        <w:t xml:space="preserve"> </w:t>
      </w:r>
      <w:proofErr w:type="spellStart"/>
      <w:r w:rsidRPr="0076403C">
        <w:rPr>
          <w:rFonts w:hint="eastAsia"/>
        </w:rPr>
        <w:t>매도량의</w:t>
      </w:r>
      <w:proofErr w:type="spellEnd"/>
      <w:r w:rsidRPr="0076403C">
        <w:rPr>
          <w:rFonts w:hint="eastAsia"/>
        </w:rPr>
        <w:t xml:space="preserve"> 차이로 정의하였다. </w:t>
      </w:r>
      <w:r w:rsidR="002606D1">
        <w:rPr>
          <w:rFonts w:hint="eastAsia"/>
        </w:rPr>
        <w:t xml:space="preserve">전체 국내기관투자자의 거래행위는 </w:t>
      </w:r>
      <w:proofErr w:type="spellStart"/>
      <w:r w:rsidR="002606D1">
        <w:rPr>
          <w:rFonts w:hint="eastAsia"/>
        </w:rPr>
        <w:t>동시점의</w:t>
      </w:r>
      <w:proofErr w:type="spellEnd"/>
      <w:r w:rsidR="002606D1">
        <w:rPr>
          <w:rFonts w:hint="eastAsia"/>
        </w:rPr>
        <w:t xml:space="preserve"> 변동성변화와 유의한 관련성을 찾기 어려웠으나, 외국인기관투자자의 경우 옵션매수가 </w:t>
      </w:r>
      <w:proofErr w:type="spellStart"/>
      <w:r w:rsidR="002606D1">
        <w:rPr>
          <w:rFonts w:hint="eastAsia"/>
        </w:rPr>
        <w:t>동시점의</w:t>
      </w:r>
      <w:proofErr w:type="spellEnd"/>
      <w:r w:rsidR="002606D1">
        <w:rPr>
          <w:rFonts w:hint="eastAsia"/>
        </w:rPr>
        <w:t xml:space="preserve"> 변동성 하락과 관계되며, 옵션매도는 변동성의 상승과 관계되었다. 이는 외국인투자자가 변동성을 저가매수 및 고가매도 한다는 것을 의미한다. 두 거래주체의 옵션거래 전후 변동성의 변화를 살펴보면, 국내기관투자자의 경우 유의한 변동성 변화를 확인하지 못한 반면, 외국인투자자는 변동성 하락 시 변동성을 매수하고 이후 변동성이 상승한 후 변동성을 매도하는 것으로 나타났다. 이 밖에 국내기관투자자의 거래가 변동성과 관련성이 나타나지 않는 현상을 설명하기 위해 국내기관투자자를 증권회사와 투자회사로 구분한 결과, 투자회사의 옵션매도거래는 변동성하락과 관련되어 있으며, 이후 변동성 상승하였다. 즉, 국내투자회사는 최소한 변동성거래 측면에서 정보적 우위를 가지고 있다고 보기 </w:t>
      </w:r>
      <w:r w:rsidR="002606D1">
        <w:rPr>
          <w:rFonts w:hint="eastAsia"/>
        </w:rPr>
        <w:lastRenderedPageBreak/>
        <w:t>어렵다. 위 결과는 거래량 효과 및 실현변동성 변화를 고려한 이후에도 여전히 유효하였다.</w:t>
      </w:r>
    </w:p>
    <w:p w:rsidR="0076403C" w:rsidRDefault="0076403C" w:rsidP="0076403C">
      <w:pPr>
        <w:spacing w:line="276" w:lineRule="auto"/>
        <w:ind w:firstLineChars="100" w:firstLine="200"/>
      </w:pPr>
      <w:r>
        <w:rPr>
          <w:rFonts w:hint="eastAsia"/>
        </w:rPr>
        <w:t xml:space="preserve">본 연구 결과를 통해 기관투자자들의 변동성 정보거래에 대한 추론을 해보면 다음과 같다. 옵션시장에서 평균적으로 변동성(옵션) 매수포지션을 취하는 거래자는 개인투자자와 외국인기관투자자이며, 국내증권회사와 국내투자회사는 매도포지션을 취하는 경향이 크다. 이 때 각 거래자의 거래와 변동성의 전후 변화를 보면, 개인과 </w:t>
      </w:r>
      <w:r w:rsidR="00FD205D">
        <w:rPr>
          <w:rFonts w:hint="eastAsia"/>
        </w:rPr>
        <w:t>국내</w:t>
      </w:r>
      <w:r>
        <w:rPr>
          <w:rFonts w:hint="eastAsia"/>
        </w:rPr>
        <w:t>투자</w:t>
      </w:r>
      <w:r w:rsidR="00FD205D">
        <w:rPr>
          <w:rFonts w:hint="eastAsia"/>
        </w:rPr>
        <w:t>회사</w:t>
      </w:r>
      <w:r>
        <w:rPr>
          <w:rFonts w:hint="eastAsia"/>
        </w:rPr>
        <w:t xml:space="preserve">는 변동성 </w:t>
      </w:r>
      <w:proofErr w:type="spellStart"/>
      <w:r>
        <w:rPr>
          <w:rFonts w:hint="eastAsia"/>
        </w:rPr>
        <w:t>상승시</w:t>
      </w:r>
      <w:proofErr w:type="spellEnd"/>
      <w:r>
        <w:rPr>
          <w:rFonts w:hint="eastAsia"/>
        </w:rPr>
        <w:t xml:space="preserve"> 매수하고 </w:t>
      </w:r>
      <w:proofErr w:type="spellStart"/>
      <w:r>
        <w:rPr>
          <w:rFonts w:hint="eastAsia"/>
        </w:rPr>
        <w:t>하락시</w:t>
      </w:r>
      <w:proofErr w:type="spellEnd"/>
      <w:r>
        <w:rPr>
          <w:rFonts w:hint="eastAsia"/>
        </w:rPr>
        <w:t xml:space="preserve"> 매도하는 관계를 가지는 반면, 외국인기관투자자는 </w:t>
      </w:r>
      <w:proofErr w:type="spellStart"/>
      <w:r>
        <w:rPr>
          <w:rFonts w:hint="eastAsia"/>
        </w:rPr>
        <w:t>하락시</w:t>
      </w:r>
      <w:proofErr w:type="spellEnd"/>
      <w:r>
        <w:rPr>
          <w:rFonts w:hint="eastAsia"/>
        </w:rPr>
        <w:t xml:space="preserve"> 매수 및 </w:t>
      </w:r>
      <w:proofErr w:type="spellStart"/>
      <w:r>
        <w:rPr>
          <w:rFonts w:hint="eastAsia"/>
        </w:rPr>
        <w:t>상승시</w:t>
      </w:r>
      <w:proofErr w:type="spellEnd"/>
      <w:r>
        <w:rPr>
          <w:rFonts w:hint="eastAsia"/>
        </w:rPr>
        <w:t xml:space="preserve"> 매수하는 경향이 있다. 각 거래주체의 </w:t>
      </w:r>
      <w:proofErr w:type="spellStart"/>
      <w:r>
        <w:rPr>
          <w:rFonts w:hint="eastAsia"/>
        </w:rPr>
        <w:t>매량</w:t>
      </w:r>
      <w:proofErr w:type="spellEnd"/>
      <w:r>
        <w:rPr>
          <w:rFonts w:hint="eastAsia"/>
        </w:rPr>
        <w:t xml:space="preserve"> 매수/매도 이후 변동성 변화를 보면, 외국인투자자는 변동성 저가매수 후 변동성이 상승하며, 충분히 상승한 이후 변동성을 매도하는 것으로 나타났다. 이는 외국인기관투자자가 변동성 정보거래자임을 지지하며, Chang et al</w:t>
      </w:r>
      <w:proofErr w:type="gramStart"/>
      <w:r>
        <w:rPr>
          <w:rFonts w:hint="eastAsia"/>
        </w:rPr>
        <w:t>.(</w:t>
      </w:r>
      <w:proofErr w:type="gramEnd"/>
      <w:r>
        <w:rPr>
          <w:rFonts w:hint="eastAsia"/>
        </w:rPr>
        <w:t xml:space="preserve">2010)의 결과와 일치한다. </w:t>
      </w:r>
    </w:p>
    <w:p w:rsidR="00290146" w:rsidRPr="00290146" w:rsidRDefault="00290146" w:rsidP="0076403C">
      <w:pPr>
        <w:spacing w:line="276" w:lineRule="auto"/>
        <w:ind w:firstLineChars="100" w:firstLine="200"/>
      </w:pPr>
      <w:r w:rsidRPr="00290146">
        <w:t xml:space="preserve">그러나 본 연구는 다음의 한계점을 동시에 보유하고 있다. 먼저, 옵션거래에서 손실을 기록하고 있다고 알려진 </w:t>
      </w:r>
      <w:r w:rsidR="0076403C">
        <w:rPr>
          <w:rFonts w:hint="eastAsia"/>
        </w:rPr>
        <w:t>국내</w:t>
      </w:r>
      <w:r w:rsidRPr="00290146">
        <w:t xml:space="preserve">증권회사의 경우, 옵션만을 거래 수단으로 사용하기 보다는 선물시장과 현물시장 사이의 프로그램 트레이드 및 다양한 전략이 병합되어 사용되기 때문에 이를 직접적인 성과(손실)로 보기 어려울 수도 있다. 따라서 보다 엄밀하게 정보거래자에 대한 판단을 위해서는 선물시장과 현물시장을 아우르는 포괄적인 성과를 분석해야 할 것으로 보인다. </w:t>
      </w:r>
      <w:bookmarkStart w:id="0" w:name="_GoBack"/>
      <w:bookmarkEnd w:id="0"/>
      <w:r w:rsidRPr="00290146">
        <w:t xml:space="preserve">또한 옵션시장은 변동성을 거래할 수 있는 시장이기는 하지만 많은 거래주체는 여전히 </w:t>
      </w:r>
      <w:proofErr w:type="spellStart"/>
      <w:r w:rsidRPr="00290146">
        <w:t>레버리지</w:t>
      </w:r>
      <w:proofErr w:type="spellEnd"/>
      <w:r w:rsidRPr="00290146">
        <w:t xml:space="preserve"> 효과를 이용한 방향성 거래를 수행하고 있다. 따라서 방향성 거래를 포함한 각 투자자의 거래행태를 확인하기 위해서는 </w:t>
      </w:r>
      <w:proofErr w:type="spellStart"/>
      <w:r w:rsidRPr="00290146">
        <w:t>콜옵션과</w:t>
      </w:r>
      <w:proofErr w:type="spellEnd"/>
      <w:r w:rsidRPr="00290146">
        <w:t xml:space="preserve"> </w:t>
      </w:r>
      <w:proofErr w:type="spellStart"/>
      <w:r w:rsidRPr="00290146">
        <w:t>풋옵션을</w:t>
      </w:r>
      <w:proofErr w:type="spellEnd"/>
      <w:r w:rsidRPr="00290146">
        <w:t xml:space="preserve"> 분리하여 연구를 수행해야 할 필요가 있다. 아직 </w:t>
      </w:r>
      <w:proofErr w:type="spellStart"/>
      <w:r w:rsidRPr="00290146">
        <w:t>콜옵션과</w:t>
      </w:r>
      <w:proofErr w:type="spellEnd"/>
      <w:r w:rsidRPr="00290146">
        <w:t xml:space="preserve"> </w:t>
      </w:r>
      <w:proofErr w:type="spellStart"/>
      <w:r w:rsidRPr="00290146">
        <w:t>풋옵션이</w:t>
      </w:r>
      <w:proofErr w:type="spellEnd"/>
      <w:r w:rsidRPr="00290146">
        <w:t xml:space="preserve"> 분리된 자료가 제공되지 않지만 향후 자료가 제공된다면 이를 이용해 종합적인 분석이 가능할 것이다. </w:t>
      </w:r>
    </w:p>
    <w:p w:rsidR="00CF6042" w:rsidRPr="00290146" w:rsidRDefault="00CF6042" w:rsidP="00CF6042">
      <w:pPr>
        <w:spacing w:line="276" w:lineRule="auto"/>
      </w:pPr>
    </w:p>
    <w:p w:rsidR="00CF6042" w:rsidRDefault="00CF6042" w:rsidP="00CF6042">
      <w:pPr>
        <w:spacing w:line="276" w:lineRule="auto"/>
      </w:pPr>
    </w:p>
    <w:p w:rsidR="00CF6042" w:rsidRDefault="00CF6042" w:rsidP="00CF6042">
      <w:pPr>
        <w:spacing w:line="276" w:lineRule="auto"/>
      </w:pPr>
    </w:p>
    <w:p w:rsidR="00CF6042" w:rsidRDefault="00CF6042" w:rsidP="00CF6042">
      <w:pPr>
        <w:spacing w:line="276" w:lineRule="auto"/>
      </w:pPr>
    </w:p>
    <w:p w:rsidR="00CF6042" w:rsidRPr="00392C84" w:rsidRDefault="00CF6042" w:rsidP="00CF6042">
      <w:pPr>
        <w:spacing w:line="276" w:lineRule="auto"/>
      </w:pPr>
    </w:p>
    <w:p w:rsidR="004C0A5F" w:rsidRPr="004C0A5F" w:rsidRDefault="004C0A5F" w:rsidP="00354604">
      <w:pPr>
        <w:pStyle w:val="a9"/>
        <w:pageBreakBefore/>
        <w:numPr>
          <w:ilvl w:val="0"/>
          <w:numId w:val="1"/>
        </w:numPr>
        <w:ind w:leftChars="0" w:left="357" w:hanging="357"/>
        <w:rPr>
          <w:b/>
          <w:sz w:val="28"/>
        </w:rPr>
      </w:pPr>
      <w:r w:rsidRPr="004C0A5F">
        <w:rPr>
          <w:rFonts w:hint="eastAsia"/>
          <w:b/>
          <w:sz w:val="28"/>
        </w:rPr>
        <w:lastRenderedPageBreak/>
        <w:t xml:space="preserve">참고문헌 </w:t>
      </w:r>
    </w:p>
    <w:p w:rsidR="004C0A5F" w:rsidRDefault="004C0A5F" w:rsidP="004C0A5F">
      <w:pPr>
        <w:ind w:left="400" w:hangingChars="200" w:hanging="400"/>
      </w:pPr>
      <w:r w:rsidRPr="004C0A5F">
        <w:t xml:space="preserve">고광수, 김근수, 2004, “투자 </w:t>
      </w:r>
      <w:proofErr w:type="spellStart"/>
      <w:r w:rsidRPr="004C0A5F">
        <w:t>주체별</w:t>
      </w:r>
      <w:proofErr w:type="spellEnd"/>
      <w:r w:rsidRPr="004C0A5F">
        <w:t xml:space="preserve"> 포트폴리오 특성과 성과 분석: 개인, 기관, 외국인,” 증권학회지, 33집 4호, pp. </w:t>
      </w:r>
      <w:proofErr w:type="gramStart"/>
      <w:r w:rsidRPr="004C0A5F">
        <w:t>35-62.</w:t>
      </w:r>
      <w:proofErr w:type="gramEnd"/>
      <w:r w:rsidRPr="004C0A5F">
        <w:t xml:space="preserve"> </w:t>
      </w:r>
    </w:p>
    <w:p w:rsidR="004C0A5F" w:rsidRDefault="004C0A5F" w:rsidP="004C0A5F">
      <w:pPr>
        <w:ind w:left="400" w:hangingChars="200" w:hanging="400"/>
      </w:pPr>
      <w:r w:rsidRPr="004C0A5F">
        <w:t xml:space="preserve">고봉찬, 1997, “위험프리미엄과 </w:t>
      </w:r>
      <w:proofErr w:type="spellStart"/>
      <w:r w:rsidRPr="004C0A5F">
        <w:t>상대적세력</w:t>
      </w:r>
      <w:proofErr w:type="spellEnd"/>
      <w:r w:rsidRPr="004C0A5F">
        <w:t xml:space="preserve"> 투자전략의 수익성,” 재무관리연구, 14, 1-21. </w:t>
      </w:r>
    </w:p>
    <w:p w:rsidR="004C0A5F" w:rsidRDefault="004C0A5F" w:rsidP="004C0A5F">
      <w:pPr>
        <w:ind w:left="400" w:hangingChars="200" w:hanging="400"/>
      </w:pPr>
      <w:r w:rsidRPr="004C0A5F">
        <w:t xml:space="preserve">길재욱, 김나영, 손용세, 2006, “한국 주식시장의 </w:t>
      </w:r>
      <w:proofErr w:type="spellStart"/>
      <w:r w:rsidRPr="004C0A5F">
        <w:t>투자주체별</w:t>
      </w:r>
      <w:proofErr w:type="spellEnd"/>
      <w:r w:rsidRPr="004C0A5F">
        <w:t xml:space="preserve"> 거래행태에 관한 분석,” 증권학회지, 35,77-106.</w:t>
      </w:r>
    </w:p>
    <w:p w:rsidR="004C0A5F" w:rsidRDefault="004C0A5F" w:rsidP="004C0A5F">
      <w:pPr>
        <w:ind w:left="400" w:hangingChars="200" w:hanging="400"/>
      </w:pPr>
      <w:r w:rsidRPr="004C0A5F">
        <w:t>김선호, 2001, 외국인투자자들의 양성피드백 투자전략 및 성과분석에 관한 실증적 연구, 금융연구, 15, 97-121.</w:t>
      </w:r>
    </w:p>
    <w:p w:rsidR="004C0A5F" w:rsidRDefault="004C0A5F" w:rsidP="004C0A5F">
      <w:pPr>
        <w:ind w:left="400" w:hangingChars="200" w:hanging="400"/>
      </w:pPr>
      <w:r w:rsidRPr="004C0A5F">
        <w:t xml:space="preserve">박경인, 배기홍, 조진완(2006), “한국 증권시장의 투자자 유형에 따른 성과분석,” 증권학회지, 제35권 3호, </w:t>
      </w:r>
      <w:proofErr w:type="gramStart"/>
      <w:r w:rsidRPr="004C0A5F">
        <w:t>pp.4</w:t>
      </w:r>
      <w:proofErr w:type="gramEnd"/>
    </w:p>
    <w:p w:rsidR="004C0A5F" w:rsidRDefault="004C0A5F" w:rsidP="004C0A5F">
      <w:pPr>
        <w:ind w:left="400" w:hangingChars="200" w:hanging="400"/>
      </w:pPr>
      <w:r w:rsidRPr="004C0A5F">
        <w:t xml:space="preserve">김태혁, </w:t>
      </w:r>
      <w:proofErr w:type="spellStart"/>
      <w:r w:rsidRPr="004C0A5F">
        <w:t>엄철준</w:t>
      </w:r>
      <w:proofErr w:type="spellEnd"/>
      <w:r w:rsidRPr="004C0A5F">
        <w:t xml:space="preserve">, 1997, “한국주식시장에 있어서 반대거래전략과 </w:t>
      </w:r>
      <w:proofErr w:type="spellStart"/>
      <w:r w:rsidRPr="004C0A5F">
        <w:t>계속거래전략의</w:t>
      </w:r>
      <w:proofErr w:type="spellEnd"/>
      <w:r w:rsidRPr="004C0A5F">
        <w:t xml:space="preserve"> 경제적 유용성에 관한 비교연구,” 재무관리연구, 14, 73-11.</w:t>
      </w:r>
    </w:p>
    <w:p w:rsidR="004C0A5F" w:rsidRDefault="004C0A5F" w:rsidP="004C0A5F">
      <w:pPr>
        <w:ind w:left="400" w:hangingChars="200" w:hanging="400"/>
      </w:pPr>
      <w:r w:rsidRPr="004C0A5F">
        <w:t>오승현, 한상범, “한국 유가증권시장 투자자 유형별 거래행태 분석,” 산업경제연구, 21권 1호, (2008), 269-287.</w:t>
      </w:r>
    </w:p>
    <w:p w:rsidR="004C0A5F" w:rsidRDefault="004C0A5F" w:rsidP="004C0A5F">
      <w:pPr>
        <w:ind w:left="400" w:hangingChars="200" w:hanging="400"/>
      </w:pPr>
      <w:r w:rsidRPr="004C0A5F">
        <w:t>원승연, 한상범, “주가선물시장에서의 개인투자자의 행태와 차익거래의 지속성,” 2007년 공동학술대회.</w:t>
      </w:r>
    </w:p>
    <w:p w:rsidR="004C0A5F" w:rsidRDefault="004C0A5F" w:rsidP="004C0A5F">
      <w:pPr>
        <w:ind w:left="400" w:hangingChars="200" w:hanging="400"/>
      </w:pPr>
      <w:r w:rsidRPr="004C0A5F">
        <w:t>윤선중, 김소정, 2013, “개인투자자가 옵션시장의 변동성거래에 미치는 영향에 대한 연구,” 재무연구, 26, 417-446</w:t>
      </w:r>
    </w:p>
    <w:p w:rsidR="004C0A5F" w:rsidRDefault="004C0A5F" w:rsidP="004C0A5F">
      <w:pPr>
        <w:ind w:left="400" w:hangingChars="200" w:hanging="400"/>
      </w:pPr>
      <w:r w:rsidRPr="004C0A5F">
        <w:t>이가연, 이윤구, 2004, “투자자 유형별 투자행태와 투자성과의 차이, 산업경제연구, 17, 1233-1253.</w:t>
      </w:r>
    </w:p>
    <w:p w:rsidR="004C0A5F" w:rsidRDefault="004C0A5F" w:rsidP="004C0A5F">
      <w:pPr>
        <w:ind w:left="400" w:hangingChars="200" w:hanging="400"/>
      </w:pPr>
      <w:r w:rsidRPr="004C0A5F">
        <w:t xml:space="preserve">이정도, 안영규, 2002, “한국 주식시장에서 </w:t>
      </w:r>
      <w:proofErr w:type="spellStart"/>
      <w:r w:rsidRPr="004C0A5F">
        <w:t>계속투자전략과</w:t>
      </w:r>
      <w:proofErr w:type="spellEnd"/>
      <w:r w:rsidRPr="004C0A5F">
        <w:t xml:space="preserve"> 반대투자전략의 수익성 분석,” 증권학회지, 30, 33-72. </w:t>
      </w:r>
    </w:p>
    <w:p w:rsidR="004C0A5F" w:rsidRDefault="004C0A5F" w:rsidP="004C0A5F">
      <w:pPr>
        <w:ind w:left="400" w:hangingChars="200" w:hanging="400"/>
      </w:pPr>
      <w:r w:rsidRPr="004C0A5F">
        <w:t xml:space="preserve">정재만, 김재근, “개인투자자의 옵션매매 성과와 행태,” 선물연구, 제 13권 1호 (2005), pp. </w:t>
      </w:r>
      <w:proofErr w:type="gramStart"/>
      <w:r w:rsidRPr="004C0A5F">
        <w:t>99-127.</w:t>
      </w:r>
      <w:proofErr w:type="gramEnd"/>
    </w:p>
    <w:p w:rsidR="004C0A5F" w:rsidRDefault="004C0A5F" w:rsidP="004C0A5F">
      <w:pPr>
        <w:ind w:left="400" w:hangingChars="200" w:hanging="400"/>
      </w:pPr>
      <w:proofErr w:type="spellStart"/>
      <w:r w:rsidRPr="004C0A5F">
        <w:t>Anand</w:t>
      </w:r>
      <w:proofErr w:type="spellEnd"/>
      <w:r w:rsidRPr="004C0A5F">
        <w:t xml:space="preserve">, A. and S. </w:t>
      </w:r>
      <w:proofErr w:type="spellStart"/>
      <w:r w:rsidRPr="004C0A5F">
        <w:t>Chakravarty</w:t>
      </w:r>
      <w:proofErr w:type="spellEnd"/>
      <w:r w:rsidRPr="004C0A5F">
        <w:t xml:space="preserve">, 2007, Stealth trading in options market, Journal of Financial and Quantitative Analysis 42, pp. 167-187. </w:t>
      </w:r>
    </w:p>
    <w:p w:rsidR="004C0A5F" w:rsidRDefault="004C0A5F" w:rsidP="004C0A5F">
      <w:pPr>
        <w:ind w:left="400" w:hangingChars="200" w:hanging="400"/>
      </w:pPr>
      <w:r w:rsidRPr="004C0A5F">
        <w:t xml:space="preserve">Barber, B., and T. </w:t>
      </w:r>
      <w:proofErr w:type="spellStart"/>
      <w:r w:rsidRPr="004C0A5F">
        <w:t>Odean</w:t>
      </w:r>
      <w:proofErr w:type="spellEnd"/>
      <w:r w:rsidRPr="004C0A5F">
        <w:t xml:space="preserve">, 1999, </w:t>
      </w:r>
      <w:proofErr w:type="gramStart"/>
      <w:r w:rsidRPr="004C0A5F">
        <w:t>The</w:t>
      </w:r>
      <w:proofErr w:type="gramEnd"/>
      <w:r w:rsidRPr="004C0A5F">
        <w:t xml:space="preserve"> Courage of Misguided Conviction: The Trading Behavior of Individual Investors, Financial Analyst Journal, 41-55.</w:t>
      </w:r>
    </w:p>
    <w:p w:rsidR="004C0A5F" w:rsidRDefault="004C0A5F" w:rsidP="004C0A5F">
      <w:pPr>
        <w:ind w:left="400" w:hangingChars="200" w:hanging="400"/>
      </w:pPr>
      <w:r w:rsidRPr="004C0A5F">
        <w:t xml:space="preserve">Barber, B., and T. </w:t>
      </w:r>
      <w:proofErr w:type="spellStart"/>
      <w:r w:rsidRPr="004C0A5F">
        <w:t>Odean</w:t>
      </w:r>
      <w:proofErr w:type="spellEnd"/>
      <w:r w:rsidRPr="004C0A5F">
        <w:t xml:space="preserve">, 2000, </w:t>
      </w:r>
      <w:proofErr w:type="gramStart"/>
      <w:r w:rsidRPr="004C0A5F">
        <w:t>Trading</w:t>
      </w:r>
      <w:proofErr w:type="gramEnd"/>
      <w:r w:rsidRPr="004C0A5F">
        <w:t xml:space="preserve"> is Hazardous to Your Wealth: The Common Stock Investment Performance of Individual Investor, Journal of Finance, 55: 773-806.</w:t>
      </w:r>
    </w:p>
    <w:p w:rsidR="004C0A5F" w:rsidRDefault="004C0A5F" w:rsidP="004C0A5F">
      <w:pPr>
        <w:ind w:left="400" w:hangingChars="200" w:hanging="400"/>
      </w:pPr>
      <w:r w:rsidRPr="004C0A5F">
        <w:t xml:space="preserve">Barber, B., and T. </w:t>
      </w:r>
      <w:proofErr w:type="spellStart"/>
      <w:r w:rsidRPr="004C0A5F">
        <w:t>Odean</w:t>
      </w:r>
      <w:proofErr w:type="spellEnd"/>
      <w:r w:rsidRPr="004C0A5F">
        <w:t xml:space="preserve">, 2006, </w:t>
      </w:r>
      <w:proofErr w:type="gramStart"/>
      <w:r w:rsidRPr="004C0A5F">
        <w:t>All</w:t>
      </w:r>
      <w:proofErr w:type="gramEnd"/>
      <w:r w:rsidRPr="004C0A5F">
        <w:t xml:space="preserve"> that Glitters: The Effect of Attention and News in the Buying Behavior of Individual and Institutional Investors, Review of Financial Studies, forthcoming.</w:t>
      </w:r>
    </w:p>
    <w:p w:rsidR="004C0A5F" w:rsidRDefault="004C0A5F" w:rsidP="004C0A5F">
      <w:pPr>
        <w:ind w:left="400" w:hangingChars="200" w:hanging="400"/>
      </w:pPr>
      <w:proofErr w:type="spellStart"/>
      <w:proofErr w:type="gramStart"/>
      <w:r w:rsidRPr="004C0A5F">
        <w:t>Barberis</w:t>
      </w:r>
      <w:proofErr w:type="spellEnd"/>
      <w:r w:rsidRPr="004C0A5F">
        <w:t xml:space="preserve">, N., A. </w:t>
      </w:r>
      <w:proofErr w:type="spellStart"/>
      <w:r w:rsidRPr="004C0A5F">
        <w:t>Shleifer</w:t>
      </w:r>
      <w:proofErr w:type="spellEnd"/>
      <w:r w:rsidRPr="004C0A5F">
        <w:t xml:space="preserve"> and R. </w:t>
      </w:r>
      <w:proofErr w:type="spellStart"/>
      <w:r w:rsidRPr="004C0A5F">
        <w:t>Vishny</w:t>
      </w:r>
      <w:proofErr w:type="spellEnd"/>
      <w:r w:rsidRPr="004C0A5F">
        <w:t>, 1998, A model of investor sentiment, Journal of Finance, 49, 307-343.</w:t>
      </w:r>
      <w:proofErr w:type="gramEnd"/>
    </w:p>
    <w:p w:rsidR="004C0A5F" w:rsidRDefault="004C0A5F" w:rsidP="004C0A5F">
      <w:pPr>
        <w:ind w:left="400" w:hangingChars="200" w:hanging="400"/>
      </w:pPr>
      <w:r w:rsidRPr="004C0A5F">
        <w:t xml:space="preserve">BIS Monetary and Economic Department. </w:t>
      </w:r>
      <w:proofErr w:type="gramStart"/>
      <w:r w:rsidRPr="004C0A5F">
        <w:t>(2005) International Banking and Financial Market Developments.</w:t>
      </w:r>
      <w:proofErr w:type="gramEnd"/>
      <w:r w:rsidRPr="004C0A5F">
        <w:t xml:space="preserve"> BIS Quarterly Review.</w:t>
      </w:r>
    </w:p>
    <w:p w:rsidR="004C0A5F" w:rsidRDefault="004C0A5F" w:rsidP="004C0A5F">
      <w:pPr>
        <w:ind w:left="400" w:hangingChars="200" w:hanging="400"/>
      </w:pPr>
      <w:r w:rsidRPr="004C0A5F">
        <w:t>Black, F., 1986, Noise, Journal of Finance 41, 529–543.</w:t>
      </w:r>
    </w:p>
    <w:p w:rsidR="004C0A5F" w:rsidRDefault="004C0A5F" w:rsidP="004C0A5F">
      <w:pPr>
        <w:ind w:left="400" w:hangingChars="200" w:hanging="400"/>
      </w:pPr>
      <w:proofErr w:type="spellStart"/>
      <w:r w:rsidRPr="004C0A5F">
        <w:t>Blume</w:t>
      </w:r>
      <w:proofErr w:type="spellEnd"/>
      <w:r w:rsidRPr="004C0A5F">
        <w:t xml:space="preserve">, L., D. Easley and M. </w:t>
      </w:r>
      <w:proofErr w:type="spellStart"/>
      <w:r w:rsidRPr="004C0A5F">
        <w:t>O’hara</w:t>
      </w:r>
      <w:proofErr w:type="spellEnd"/>
      <w:r w:rsidRPr="004C0A5F">
        <w:t xml:space="preserve">, 1994, “Market Statistics and Technical Analysis: The Role of Volume,” Journal of Finance, 49, 153-181.   </w:t>
      </w:r>
    </w:p>
    <w:p w:rsidR="004C0A5F" w:rsidRDefault="004C0A5F" w:rsidP="004C0A5F">
      <w:pPr>
        <w:ind w:left="400" w:hangingChars="200" w:hanging="400"/>
      </w:pPr>
      <w:proofErr w:type="gramStart"/>
      <w:r w:rsidRPr="004C0A5F">
        <w:t xml:space="preserve">Campbell, J., S. Grossman, and J. Wang, 1993, Trading volume and serial correlation in stock </w:t>
      </w:r>
      <w:r w:rsidRPr="004C0A5F">
        <w:lastRenderedPageBreak/>
        <w:t>returns, Quarterly Journal of Economics, 107, 905-939.</w:t>
      </w:r>
      <w:proofErr w:type="gramEnd"/>
      <w:r w:rsidRPr="004C0A5F">
        <w:t xml:space="preserve"> </w:t>
      </w:r>
    </w:p>
    <w:p w:rsidR="004C0A5F" w:rsidRDefault="004C0A5F" w:rsidP="004C0A5F">
      <w:pPr>
        <w:ind w:left="400" w:hangingChars="200" w:hanging="400"/>
      </w:pPr>
      <w:proofErr w:type="spellStart"/>
      <w:r w:rsidRPr="004C0A5F">
        <w:t>Chakravarty</w:t>
      </w:r>
      <w:proofErr w:type="spellEnd"/>
      <w:r w:rsidRPr="004C0A5F">
        <w:t xml:space="preserve">, S., H. </w:t>
      </w:r>
      <w:proofErr w:type="spellStart"/>
      <w:r w:rsidRPr="004C0A5F">
        <w:t>Gulen</w:t>
      </w:r>
      <w:proofErr w:type="spellEnd"/>
      <w:r w:rsidRPr="004C0A5F">
        <w:t>, and S. Mayhew, 2004, Informed trading in stock and option markets, Journal of Finance 59, pp. 1235-1257.</w:t>
      </w:r>
    </w:p>
    <w:p w:rsidR="004C0A5F" w:rsidRDefault="004C0A5F" w:rsidP="004C0A5F">
      <w:pPr>
        <w:ind w:left="400" w:hangingChars="200" w:hanging="400"/>
      </w:pPr>
      <w:r w:rsidRPr="004C0A5F">
        <w:t xml:space="preserve">Chang, C., H. </w:t>
      </w:r>
      <w:proofErr w:type="spellStart"/>
      <w:r w:rsidRPr="004C0A5F">
        <w:t>Hsieha</w:t>
      </w:r>
      <w:proofErr w:type="spellEnd"/>
      <w:r w:rsidRPr="004C0A5F">
        <w:t>, and Y. Wang, 2010, "Information content of options trading volume for future volatility: Evidence from the Taiwan options market", Journal of Banking &amp; Finance, 34, pp. 174-183</w:t>
      </w:r>
    </w:p>
    <w:p w:rsidR="004C0A5F" w:rsidRDefault="004C0A5F" w:rsidP="004C0A5F">
      <w:pPr>
        <w:ind w:left="400" w:hangingChars="200" w:hanging="400"/>
      </w:pPr>
      <w:proofErr w:type="spellStart"/>
      <w:r w:rsidRPr="004C0A5F">
        <w:t>Choe</w:t>
      </w:r>
      <w:proofErr w:type="spellEnd"/>
      <w:r w:rsidRPr="004C0A5F">
        <w:t xml:space="preserve">, H., B. </w:t>
      </w:r>
      <w:proofErr w:type="spellStart"/>
      <w:r w:rsidRPr="004C0A5F">
        <w:t>Kho</w:t>
      </w:r>
      <w:proofErr w:type="spellEnd"/>
      <w:r w:rsidRPr="004C0A5F">
        <w:t xml:space="preserve">, and R. </w:t>
      </w:r>
      <w:proofErr w:type="spellStart"/>
      <w:r w:rsidRPr="004C0A5F">
        <w:t>Stulz</w:t>
      </w:r>
      <w:proofErr w:type="spellEnd"/>
      <w:r w:rsidRPr="004C0A5F">
        <w:t>, 1999, Do Foreign Investors Destabilize Stock Markets? The Korean Experience in 1997, Journal of Financial Economics, 54: 227-264.</w:t>
      </w:r>
    </w:p>
    <w:p w:rsidR="004C0A5F" w:rsidRDefault="004C0A5F" w:rsidP="004C0A5F">
      <w:pPr>
        <w:ind w:left="400" w:hangingChars="200" w:hanging="400"/>
      </w:pPr>
      <w:r w:rsidRPr="004C0A5F">
        <w:t>Choy, S. and J. Wei, 2012, "Option trading: Information or differences of opinion?" Journal of Banking &amp; Finance, 36, pp. 2299-2322</w:t>
      </w:r>
    </w:p>
    <w:p w:rsidR="004C0A5F" w:rsidRDefault="004C0A5F" w:rsidP="004C0A5F">
      <w:pPr>
        <w:ind w:left="400" w:hangingChars="200" w:hanging="400"/>
      </w:pPr>
      <w:r w:rsidRPr="004C0A5F">
        <w:t xml:space="preserve">Conrad, J., A. </w:t>
      </w:r>
      <w:proofErr w:type="spellStart"/>
      <w:r w:rsidRPr="004C0A5F">
        <w:t>Hameed</w:t>
      </w:r>
      <w:proofErr w:type="spellEnd"/>
      <w:r w:rsidRPr="004C0A5F">
        <w:t xml:space="preserve">, and C. </w:t>
      </w:r>
      <w:proofErr w:type="spellStart"/>
      <w:r w:rsidRPr="004C0A5F">
        <w:t>Niden</w:t>
      </w:r>
      <w:proofErr w:type="spellEnd"/>
      <w:r w:rsidRPr="004C0A5F">
        <w:t xml:space="preserve">, 1994, Volume and </w:t>
      </w:r>
      <w:proofErr w:type="spellStart"/>
      <w:r w:rsidRPr="004C0A5F">
        <w:t>autocovariances</w:t>
      </w:r>
      <w:proofErr w:type="spellEnd"/>
      <w:r w:rsidRPr="004C0A5F">
        <w:t xml:space="preserve"> </w:t>
      </w:r>
      <w:proofErr w:type="spellStart"/>
      <w:r w:rsidRPr="004C0A5F">
        <w:t>inshort</w:t>
      </w:r>
      <w:proofErr w:type="spellEnd"/>
      <w:r w:rsidRPr="004C0A5F">
        <w:t>-horizon individual security returns, Journal of Finance 49, 1305–1329.</w:t>
      </w:r>
    </w:p>
    <w:p w:rsidR="004C0A5F" w:rsidRDefault="004C0A5F" w:rsidP="004C0A5F">
      <w:pPr>
        <w:ind w:left="400" w:hangingChars="200" w:hanging="400"/>
      </w:pPr>
      <w:proofErr w:type="gramStart"/>
      <w:r w:rsidRPr="004C0A5F">
        <w:t xml:space="preserve">Daniel, K., D. </w:t>
      </w:r>
      <w:proofErr w:type="spellStart"/>
      <w:r w:rsidRPr="004C0A5F">
        <w:t>Hirshleifer</w:t>
      </w:r>
      <w:proofErr w:type="spellEnd"/>
      <w:r w:rsidRPr="004C0A5F">
        <w:t xml:space="preserve">, and A. </w:t>
      </w:r>
      <w:proofErr w:type="spellStart"/>
      <w:r w:rsidRPr="004C0A5F">
        <w:t>Subrahmanyam</w:t>
      </w:r>
      <w:proofErr w:type="spellEnd"/>
      <w:r w:rsidRPr="004C0A5F">
        <w:t>, 1998, Investor psychology and security market under- and overreactions, Journal of Finance 53, 1839–1886.</w:t>
      </w:r>
      <w:proofErr w:type="gramEnd"/>
    </w:p>
    <w:p w:rsidR="004C0A5F" w:rsidRDefault="004C0A5F" w:rsidP="004C0A5F">
      <w:pPr>
        <w:ind w:left="400" w:hangingChars="200" w:hanging="400"/>
      </w:pPr>
      <w:r w:rsidRPr="004C0A5F">
        <w:t xml:space="preserve">De Long, J., A. </w:t>
      </w:r>
      <w:proofErr w:type="spellStart"/>
      <w:r w:rsidRPr="004C0A5F">
        <w:t>Shleifer</w:t>
      </w:r>
      <w:proofErr w:type="spellEnd"/>
      <w:r w:rsidRPr="004C0A5F">
        <w:t xml:space="preserve">, L. Summers, and R. </w:t>
      </w:r>
      <w:proofErr w:type="spellStart"/>
      <w:r w:rsidRPr="004C0A5F">
        <w:t>Waldmann</w:t>
      </w:r>
      <w:proofErr w:type="spellEnd"/>
      <w:r w:rsidRPr="004C0A5F">
        <w:t>, 1990a, Noise trader risk in financial markets, Journal of Political Economy 98, 703–738.</w:t>
      </w:r>
    </w:p>
    <w:p w:rsidR="004C0A5F" w:rsidRDefault="004C0A5F" w:rsidP="004C0A5F">
      <w:pPr>
        <w:ind w:left="400" w:hangingChars="200" w:hanging="400"/>
      </w:pPr>
      <w:r w:rsidRPr="004C0A5F">
        <w:t xml:space="preserve">De Long, J., A. </w:t>
      </w:r>
      <w:proofErr w:type="spellStart"/>
      <w:r w:rsidRPr="004C0A5F">
        <w:t>Shleifer</w:t>
      </w:r>
      <w:proofErr w:type="spellEnd"/>
      <w:r w:rsidRPr="004C0A5F">
        <w:t xml:space="preserve">, L. Summers, and R. </w:t>
      </w:r>
      <w:proofErr w:type="spellStart"/>
      <w:r w:rsidRPr="004C0A5F">
        <w:t>Waldmann</w:t>
      </w:r>
      <w:proofErr w:type="spellEnd"/>
      <w:r w:rsidRPr="004C0A5F">
        <w:t>, 1990b, Positive feedback investment strategies and destabilizing rational speculation, Journal of Finance 45, 379–395.</w:t>
      </w:r>
    </w:p>
    <w:p w:rsidR="004C0A5F" w:rsidRDefault="004C0A5F" w:rsidP="004C0A5F">
      <w:pPr>
        <w:ind w:left="400" w:hangingChars="200" w:hanging="400"/>
      </w:pPr>
      <w:r w:rsidRPr="004C0A5F">
        <w:t xml:space="preserve">De </w:t>
      </w:r>
      <w:proofErr w:type="spellStart"/>
      <w:r w:rsidRPr="004C0A5F">
        <w:t>Bondt</w:t>
      </w:r>
      <w:proofErr w:type="spellEnd"/>
      <w:r w:rsidRPr="004C0A5F">
        <w:t xml:space="preserve">, W. and R. </w:t>
      </w:r>
      <w:proofErr w:type="spellStart"/>
      <w:r w:rsidRPr="004C0A5F">
        <w:t>Thaler</w:t>
      </w:r>
      <w:proofErr w:type="spellEnd"/>
      <w:r w:rsidRPr="004C0A5F">
        <w:t>, 1985, Does the stock market overreact</w:t>
      </w:r>
      <w:proofErr w:type="gramStart"/>
      <w:r w:rsidRPr="004C0A5F">
        <w:t>?,</w:t>
      </w:r>
      <w:proofErr w:type="gramEnd"/>
      <w:r w:rsidRPr="004C0A5F">
        <w:t xml:space="preserve"> Journal of Finance, 40, 793-808. </w:t>
      </w:r>
    </w:p>
    <w:p w:rsidR="004C0A5F" w:rsidRDefault="004C0A5F" w:rsidP="004C0A5F">
      <w:pPr>
        <w:ind w:left="400" w:hangingChars="200" w:hanging="400"/>
      </w:pPr>
      <w:proofErr w:type="spellStart"/>
      <w:r w:rsidRPr="004C0A5F">
        <w:t>Grinblatt</w:t>
      </w:r>
      <w:proofErr w:type="spellEnd"/>
      <w:r w:rsidRPr="004C0A5F">
        <w:t xml:space="preserve">, M., and M. </w:t>
      </w:r>
      <w:proofErr w:type="spellStart"/>
      <w:r w:rsidRPr="004C0A5F">
        <w:t>Keloharju</w:t>
      </w:r>
      <w:proofErr w:type="spellEnd"/>
      <w:r w:rsidRPr="004C0A5F">
        <w:t xml:space="preserve">, 2000, </w:t>
      </w:r>
      <w:proofErr w:type="gramStart"/>
      <w:r w:rsidRPr="004C0A5F">
        <w:t>The</w:t>
      </w:r>
      <w:proofErr w:type="gramEnd"/>
      <w:r w:rsidRPr="004C0A5F">
        <w:t xml:space="preserve"> investment behavior and performance of various investor types: A study of Finland’s unique data set, Journal of Financial Economics 55, 43–67.</w:t>
      </w:r>
    </w:p>
    <w:p w:rsidR="004C0A5F" w:rsidRDefault="004C0A5F" w:rsidP="004C0A5F">
      <w:pPr>
        <w:ind w:left="400" w:hangingChars="200" w:hanging="400"/>
      </w:pPr>
      <w:proofErr w:type="spellStart"/>
      <w:r w:rsidRPr="004C0A5F">
        <w:t>Grinblatt</w:t>
      </w:r>
      <w:proofErr w:type="spellEnd"/>
      <w:r w:rsidRPr="004C0A5F">
        <w:t xml:space="preserve">, M., and M. </w:t>
      </w:r>
      <w:proofErr w:type="spellStart"/>
      <w:r w:rsidRPr="004C0A5F">
        <w:t>Keloharju</w:t>
      </w:r>
      <w:proofErr w:type="spellEnd"/>
      <w:r w:rsidRPr="004C0A5F">
        <w:t xml:space="preserve">, 2001, </w:t>
      </w:r>
      <w:proofErr w:type="gramStart"/>
      <w:r w:rsidRPr="004C0A5F">
        <w:t>What</w:t>
      </w:r>
      <w:proofErr w:type="gramEnd"/>
      <w:r w:rsidRPr="004C0A5F">
        <w:t xml:space="preserve"> makes investors trade? Journal of Finance 56, 589–616.</w:t>
      </w:r>
    </w:p>
    <w:p w:rsidR="004C0A5F" w:rsidRDefault="004C0A5F" w:rsidP="004C0A5F">
      <w:pPr>
        <w:ind w:left="400" w:hangingChars="200" w:hanging="400"/>
      </w:pPr>
      <w:proofErr w:type="spellStart"/>
      <w:r w:rsidRPr="004C0A5F">
        <w:t>Grinblatt</w:t>
      </w:r>
      <w:proofErr w:type="spellEnd"/>
      <w:r w:rsidRPr="004C0A5F">
        <w:t xml:space="preserve">, M., S. Titman, and R. </w:t>
      </w:r>
      <w:proofErr w:type="spellStart"/>
      <w:r w:rsidRPr="004C0A5F">
        <w:t>Wermers</w:t>
      </w:r>
      <w:proofErr w:type="spellEnd"/>
      <w:r w:rsidRPr="004C0A5F">
        <w:t xml:space="preserve">, 1995, Momentum investment strategies, portfolio performance, and herding: A study of mutual fund behavior, American Economic Review, 85, 1088-1105.  </w:t>
      </w:r>
    </w:p>
    <w:p w:rsidR="004C0A5F" w:rsidRDefault="004C0A5F" w:rsidP="004C0A5F">
      <w:pPr>
        <w:ind w:left="400" w:hangingChars="200" w:hanging="400"/>
      </w:pPr>
      <w:r w:rsidRPr="004C0A5F">
        <w:t xml:space="preserve">Easley, D., M. O’Hara, and P. </w:t>
      </w:r>
      <w:proofErr w:type="spellStart"/>
      <w:r w:rsidRPr="004C0A5F">
        <w:t>Srinivas</w:t>
      </w:r>
      <w:proofErr w:type="spellEnd"/>
      <w:r w:rsidRPr="004C0A5F">
        <w:t xml:space="preserve">, 1998, Option volume and stock prices: evidence on where informed traders trade, Journal of Finance 53, pp. 431-465. </w:t>
      </w:r>
    </w:p>
    <w:p w:rsidR="004C0A5F" w:rsidRDefault="004C0A5F" w:rsidP="004C0A5F">
      <w:pPr>
        <w:ind w:left="400" w:hangingChars="200" w:hanging="400"/>
      </w:pPr>
      <w:proofErr w:type="spellStart"/>
      <w:proofErr w:type="gramStart"/>
      <w:r w:rsidRPr="004C0A5F">
        <w:t>Falkenstein</w:t>
      </w:r>
      <w:proofErr w:type="spellEnd"/>
      <w:r w:rsidRPr="004C0A5F">
        <w:t>, E., 1996, Preferences for stock characteristics as revealed by mutual fund portfolio holdings, Journal of Finance, 51, 111-135.</w:t>
      </w:r>
      <w:proofErr w:type="gramEnd"/>
      <w:r w:rsidRPr="004C0A5F">
        <w:t xml:space="preserve">  </w:t>
      </w:r>
    </w:p>
    <w:p w:rsidR="004C0A5F" w:rsidRDefault="004C0A5F" w:rsidP="004C0A5F">
      <w:pPr>
        <w:ind w:left="400" w:hangingChars="200" w:hanging="400"/>
      </w:pPr>
      <w:proofErr w:type="spellStart"/>
      <w:proofErr w:type="gramStart"/>
      <w:r w:rsidRPr="004C0A5F">
        <w:t>Figlewski</w:t>
      </w:r>
      <w:proofErr w:type="spellEnd"/>
      <w:r w:rsidRPr="004C0A5F">
        <w:t>, S., 1997, Forecasting volatility, Financial Market Institutions and Instruments 6, pp. 1-88.</w:t>
      </w:r>
      <w:proofErr w:type="gramEnd"/>
    </w:p>
    <w:p w:rsidR="004C0A5F" w:rsidRDefault="004C0A5F" w:rsidP="004C0A5F">
      <w:pPr>
        <w:ind w:left="400" w:hangingChars="200" w:hanging="400"/>
      </w:pPr>
      <w:r w:rsidRPr="004C0A5F">
        <w:t xml:space="preserve">Hong, H. and J. Stein, 1999, </w:t>
      </w:r>
      <w:proofErr w:type="gramStart"/>
      <w:r w:rsidRPr="004C0A5F">
        <w:t>A</w:t>
      </w:r>
      <w:proofErr w:type="gramEnd"/>
      <w:r w:rsidRPr="004C0A5F">
        <w:t xml:space="preserve"> unified theory of </w:t>
      </w:r>
      <w:proofErr w:type="spellStart"/>
      <w:r w:rsidRPr="004C0A5F">
        <w:t>underreaction</w:t>
      </w:r>
      <w:proofErr w:type="spellEnd"/>
      <w:r w:rsidRPr="004C0A5F">
        <w:t xml:space="preserve">, momentum trading and overreaction in asset markets, Journal of Finance, 54, 2143-2184. </w:t>
      </w:r>
    </w:p>
    <w:p w:rsidR="004C0A5F" w:rsidRDefault="004C0A5F" w:rsidP="004C0A5F">
      <w:pPr>
        <w:ind w:left="400" w:hangingChars="200" w:hanging="400"/>
      </w:pPr>
      <w:r w:rsidRPr="004C0A5F">
        <w:t xml:space="preserve">Jackson, A., 2003, </w:t>
      </w:r>
      <w:proofErr w:type="gramStart"/>
      <w:r w:rsidRPr="004C0A5F">
        <w:t>The</w:t>
      </w:r>
      <w:proofErr w:type="gramEnd"/>
      <w:r w:rsidRPr="004C0A5F">
        <w:t xml:space="preserve"> aggregate behavior of individual investors, Working paper, London Business School.</w:t>
      </w:r>
    </w:p>
    <w:p w:rsidR="004C0A5F" w:rsidRDefault="004C0A5F" w:rsidP="004C0A5F">
      <w:pPr>
        <w:ind w:left="400" w:hangingChars="200" w:hanging="400"/>
      </w:pPr>
      <w:proofErr w:type="spellStart"/>
      <w:r w:rsidRPr="004C0A5F">
        <w:t>Jegadeesh</w:t>
      </w:r>
      <w:proofErr w:type="spellEnd"/>
      <w:r w:rsidRPr="004C0A5F">
        <w:t>, N., 1990, Evidence of predictable behavior of security returns, Journal of Finance 45, 881–898.</w:t>
      </w:r>
    </w:p>
    <w:p w:rsidR="004C0A5F" w:rsidRDefault="004C0A5F" w:rsidP="004C0A5F">
      <w:pPr>
        <w:ind w:left="400" w:hangingChars="200" w:hanging="400"/>
      </w:pPr>
      <w:proofErr w:type="spellStart"/>
      <w:r w:rsidRPr="004C0A5F">
        <w:t>Jegadeesh</w:t>
      </w:r>
      <w:proofErr w:type="spellEnd"/>
      <w:r w:rsidRPr="004C0A5F">
        <w:t xml:space="preserve">, N., and S. Titman, 1995, Short-horizon return reversal and the bid-ask spread, Journal </w:t>
      </w:r>
      <w:r w:rsidRPr="004C0A5F">
        <w:lastRenderedPageBreak/>
        <w:t>of Financial Intermediation 4, 116–132.</w:t>
      </w:r>
    </w:p>
    <w:p w:rsidR="004C0A5F" w:rsidRDefault="004C0A5F" w:rsidP="004C0A5F">
      <w:pPr>
        <w:ind w:left="400" w:hangingChars="200" w:hanging="400"/>
      </w:pPr>
      <w:r w:rsidRPr="004C0A5F">
        <w:t xml:space="preserve">Kang, J., and H. Park, 2008, The Information Content of Net Buying Pressure: Evidence from the KOSPI 200 Index Option Market, </w:t>
      </w:r>
      <w:r w:rsidRPr="004C0A5F">
        <w:rPr>
          <w:iCs/>
        </w:rPr>
        <w:t xml:space="preserve">Journal of Financial Markets 11: </w:t>
      </w:r>
      <w:r w:rsidRPr="004C0A5F">
        <w:t>35-56.</w:t>
      </w:r>
    </w:p>
    <w:p w:rsidR="004C0A5F" w:rsidRDefault="004C0A5F" w:rsidP="004C0A5F">
      <w:pPr>
        <w:ind w:left="400" w:hangingChars="200" w:hanging="400"/>
      </w:pPr>
      <w:proofErr w:type="spellStart"/>
      <w:r w:rsidRPr="004C0A5F">
        <w:t>Kaniel</w:t>
      </w:r>
      <w:proofErr w:type="spellEnd"/>
      <w:r w:rsidRPr="004C0A5F">
        <w:t>, R., G. Saar, and S. Titman, 2008, Individual investor trading and stock returns, Journal of Finance, 63: 273-310.</w:t>
      </w:r>
    </w:p>
    <w:p w:rsidR="004C0A5F" w:rsidRDefault="004C0A5F" w:rsidP="004C0A5F">
      <w:pPr>
        <w:ind w:left="400" w:hangingChars="200" w:hanging="400"/>
      </w:pPr>
      <w:proofErr w:type="gramStart"/>
      <w:r w:rsidRPr="004C0A5F">
        <w:t xml:space="preserve">Kyle, A., 1985, Continuous auctions and insider trading, </w:t>
      </w:r>
      <w:proofErr w:type="spellStart"/>
      <w:r w:rsidRPr="004C0A5F">
        <w:t>Econometrica</w:t>
      </w:r>
      <w:proofErr w:type="spellEnd"/>
      <w:r w:rsidRPr="004C0A5F">
        <w:t xml:space="preserve"> 53, 1315–1336.</w:t>
      </w:r>
      <w:proofErr w:type="gramEnd"/>
    </w:p>
    <w:p w:rsidR="004C0A5F" w:rsidRDefault="004C0A5F" w:rsidP="004C0A5F">
      <w:pPr>
        <w:ind w:left="400" w:hangingChars="200" w:hanging="400"/>
      </w:pPr>
      <w:proofErr w:type="spellStart"/>
      <w:r w:rsidRPr="004C0A5F">
        <w:t>Lakonishok</w:t>
      </w:r>
      <w:proofErr w:type="spellEnd"/>
      <w:r w:rsidRPr="004C0A5F">
        <w:t xml:space="preserve">, L., I. Lee, N. Pearson, and A. </w:t>
      </w:r>
      <w:proofErr w:type="spellStart"/>
      <w:r w:rsidRPr="004C0A5F">
        <w:t>Poteschman</w:t>
      </w:r>
      <w:proofErr w:type="spellEnd"/>
      <w:r w:rsidRPr="004C0A5F">
        <w:t xml:space="preserve">, </w:t>
      </w:r>
      <w:r w:rsidRPr="004C0A5F">
        <w:rPr>
          <w:rFonts w:hint="eastAsia"/>
        </w:rPr>
        <w:t xml:space="preserve">2007, </w:t>
      </w:r>
      <w:r w:rsidRPr="004C0A5F">
        <w:t>Option Market Activity,</w:t>
      </w:r>
      <w:r w:rsidRPr="004C0A5F">
        <w:rPr>
          <w:rFonts w:hint="eastAsia"/>
        </w:rPr>
        <w:t xml:space="preserve"> </w:t>
      </w:r>
      <w:r w:rsidRPr="004C0A5F">
        <w:t>Review of Financial Studies, 20</w:t>
      </w:r>
      <w:r w:rsidRPr="004C0A5F">
        <w:rPr>
          <w:rFonts w:hint="eastAsia"/>
        </w:rPr>
        <w:t xml:space="preserve">, </w:t>
      </w:r>
      <w:r w:rsidRPr="004C0A5F">
        <w:t>813-857.</w:t>
      </w:r>
    </w:p>
    <w:p w:rsidR="004C0A5F" w:rsidRDefault="004C0A5F" w:rsidP="004C0A5F">
      <w:pPr>
        <w:ind w:left="400" w:hangingChars="200" w:hanging="400"/>
      </w:pPr>
      <w:proofErr w:type="spellStart"/>
      <w:r w:rsidRPr="004C0A5F">
        <w:t>Lakonishok</w:t>
      </w:r>
      <w:proofErr w:type="spellEnd"/>
      <w:r w:rsidRPr="004C0A5F">
        <w:t xml:space="preserve">, J., A. </w:t>
      </w:r>
      <w:proofErr w:type="spellStart"/>
      <w:r w:rsidRPr="004C0A5F">
        <w:t>Shleifer</w:t>
      </w:r>
      <w:proofErr w:type="spellEnd"/>
      <w:r w:rsidRPr="004C0A5F">
        <w:t xml:space="preserve"> and R. </w:t>
      </w:r>
      <w:proofErr w:type="spellStart"/>
      <w:r w:rsidRPr="004C0A5F">
        <w:t>Vishiny</w:t>
      </w:r>
      <w:proofErr w:type="spellEnd"/>
      <w:r w:rsidRPr="004C0A5F">
        <w:t xml:space="preserve">, 1992, </w:t>
      </w:r>
      <w:proofErr w:type="gramStart"/>
      <w:r w:rsidRPr="004C0A5F">
        <w:t>The</w:t>
      </w:r>
      <w:proofErr w:type="gramEnd"/>
      <w:r w:rsidRPr="004C0A5F">
        <w:t xml:space="preserve"> impact of institutional trading on stock prices, Journal of Financial Economics, 32, 23-43.  </w:t>
      </w:r>
    </w:p>
    <w:p w:rsidR="004C0A5F" w:rsidRDefault="004C0A5F" w:rsidP="004C0A5F">
      <w:pPr>
        <w:ind w:left="400" w:hangingChars="200" w:hanging="400"/>
      </w:pPr>
      <w:proofErr w:type="gramStart"/>
      <w:r w:rsidRPr="004C0A5F">
        <w:t>Lehmann, B., 1990, Fads, martingales, and market efficiency, Quarterly Journal of Economics 105, 1–28.</w:t>
      </w:r>
      <w:proofErr w:type="gramEnd"/>
    </w:p>
    <w:p w:rsidR="004C0A5F" w:rsidRDefault="004C0A5F" w:rsidP="004C0A5F">
      <w:pPr>
        <w:ind w:left="400" w:hangingChars="200" w:hanging="400"/>
      </w:pPr>
      <w:r w:rsidRPr="004C0A5F">
        <w:t xml:space="preserve">Lo, A., and A. </w:t>
      </w:r>
      <w:proofErr w:type="spellStart"/>
      <w:r w:rsidRPr="004C0A5F">
        <w:t>MacKinlay</w:t>
      </w:r>
      <w:proofErr w:type="spellEnd"/>
      <w:r w:rsidRPr="004C0A5F">
        <w:t xml:space="preserve">, 1990, </w:t>
      </w:r>
      <w:proofErr w:type="gramStart"/>
      <w:r w:rsidRPr="004C0A5F">
        <w:t>An</w:t>
      </w:r>
      <w:proofErr w:type="gramEnd"/>
      <w:r w:rsidRPr="004C0A5F">
        <w:t xml:space="preserve"> econometric analysis of </w:t>
      </w:r>
      <w:proofErr w:type="spellStart"/>
      <w:r w:rsidRPr="004C0A5F">
        <w:t>nonsychronous</w:t>
      </w:r>
      <w:proofErr w:type="spellEnd"/>
      <w:r w:rsidRPr="004C0A5F">
        <w:t xml:space="preserve"> trading, Journal of Econometrics 45, 181–211.</w:t>
      </w:r>
    </w:p>
    <w:p w:rsidR="004C0A5F" w:rsidRDefault="004C0A5F" w:rsidP="004C0A5F">
      <w:pPr>
        <w:ind w:left="400" w:hangingChars="200" w:hanging="400"/>
      </w:pPr>
      <w:proofErr w:type="spellStart"/>
      <w:r w:rsidRPr="004C0A5F">
        <w:t>Maraachlian</w:t>
      </w:r>
      <w:proofErr w:type="spellEnd"/>
      <w:r w:rsidRPr="004C0A5F">
        <w:t xml:space="preserve">, H. and T. </w:t>
      </w:r>
      <w:proofErr w:type="spellStart"/>
      <w:r w:rsidRPr="004C0A5F">
        <w:t>Rourke</w:t>
      </w:r>
      <w:proofErr w:type="spellEnd"/>
      <w:r w:rsidRPr="004C0A5F">
        <w:t xml:space="preserve">, 2013, “Delta and </w:t>
      </w:r>
      <w:proofErr w:type="spellStart"/>
      <w:r w:rsidRPr="004C0A5F">
        <w:t>vega</w:t>
      </w:r>
      <w:proofErr w:type="spellEnd"/>
      <w:r w:rsidRPr="004C0A5F">
        <w:t xml:space="preserve"> exposure trading in stock and option markets”, Journal of Financial Markets, Forthcoming </w:t>
      </w:r>
    </w:p>
    <w:p w:rsidR="004C0A5F" w:rsidRDefault="004C0A5F" w:rsidP="004C0A5F">
      <w:pPr>
        <w:ind w:left="400" w:hangingChars="200" w:hanging="400"/>
      </w:pPr>
      <w:proofErr w:type="spellStart"/>
      <w:r w:rsidRPr="004C0A5F">
        <w:t>Nofsinger</w:t>
      </w:r>
      <w:proofErr w:type="spellEnd"/>
      <w:r w:rsidRPr="004C0A5F">
        <w:t xml:space="preserve">, R. and R. </w:t>
      </w:r>
      <w:proofErr w:type="spellStart"/>
      <w:r w:rsidRPr="004C0A5F">
        <w:t>Sias</w:t>
      </w:r>
      <w:proofErr w:type="spellEnd"/>
      <w:r w:rsidRPr="004C0A5F">
        <w:t>, 1999, Herding and feedback trading by institutional and individual investors, Journal of Finance, 54, 2263-2295.</w:t>
      </w:r>
    </w:p>
    <w:p w:rsidR="004C0A5F" w:rsidRDefault="004C0A5F" w:rsidP="004C0A5F">
      <w:pPr>
        <w:ind w:left="400" w:hangingChars="200" w:hanging="400"/>
      </w:pPr>
      <w:proofErr w:type="spellStart"/>
      <w:proofErr w:type="gramStart"/>
      <w:r w:rsidRPr="004C0A5F">
        <w:t>Scharfstein</w:t>
      </w:r>
      <w:proofErr w:type="spellEnd"/>
      <w:r w:rsidRPr="004C0A5F">
        <w:t>, D. and J. Stein, 1990, Herd behavior and investment, American Economic Review, 80, 465-479.</w:t>
      </w:r>
      <w:proofErr w:type="gramEnd"/>
    </w:p>
    <w:p w:rsidR="004C0A5F" w:rsidRDefault="004C0A5F" w:rsidP="004C0A5F">
      <w:pPr>
        <w:ind w:left="400" w:hangingChars="200" w:hanging="400"/>
      </w:pPr>
      <w:proofErr w:type="spellStart"/>
      <w:r w:rsidRPr="004C0A5F">
        <w:t>Shiller</w:t>
      </w:r>
      <w:proofErr w:type="spellEnd"/>
      <w:r w:rsidRPr="004C0A5F">
        <w:t xml:space="preserve">, R. and J. Pound, 1989, Survey evidence on diffusion of interest and information among investors, Journal of Economic Behavior and Organization, 10, 47-66. </w:t>
      </w:r>
    </w:p>
    <w:p w:rsidR="004C0A5F" w:rsidRDefault="004C0A5F" w:rsidP="004C0A5F">
      <w:pPr>
        <w:ind w:left="400" w:hangingChars="200" w:hanging="400"/>
      </w:pPr>
      <w:proofErr w:type="spellStart"/>
      <w:r w:rsidRPr="004C0A5F">
        <w:t>Subrahmanyam</w:t>
      </w:r>
      <w:proofErr w:type="spellEnd"/>
      <w:r w:rsidRPr="004C0A5F">
        <w:t xml:space="preserve">, A., 2005, </w:t>
      </w:r>
      <w:proofErr w:type="gramStart"/>
      <w:r w:rsidRPr="004C0A5F">
        <w:t>Distinguishing</w:t>
      </w:r>
      <w:proofErr w:type="gramEnd"/>
      <w:r w:rsidRPr="004C0A5F">
        <w:t xml:space="preserve"> between rationales for short-horizon predictability of stock returns, Financial Review 40, 11–35.</w:t>
      </w:r>
    </w:p>
    <w:p w:rsidR="004C0A5F" w:rsidRPr="004C0A5F" w:rsidRDefault="004C0A5F" w:rsidP="004C0A5F">
      <w:pPr>
        <w:ind w:left="400" w:hangingChars="200" w:hanging="400"/>
      </w:pPr>
      <w:proofErr w:type="spellStart"/>
      <w:proofErr w:type="gramStart"/>
      <w:r w:rsidRPr="004C0A5F">
        <w:t>Wermers</w:t>
      </w:r>
      <w:proofErr w:type="spellEnd"/>
      <w:r w:rsidRPr="004C0A5F">
        <w:t>, R., 1999, Mutual fund herding and the impact on stock prices, Journal of Finance, 54, 581-611.</w:t>
      </w:r>
      <w:proofErr w:type="gramEnd"/>
    </w:p>
    <w:p w:rsidR="004C0A5F" w:rsidRDefault="004C0A5F" w:rsidP="004C0A5F"/>
    <w:sectPr w:rsidR="004C0A5F" w:rsidSect="00E05708">
      <w:footerReference w:type="default" r:id="rId44"/>
      <w:pgSz w:w="11906" w:h="16838"/>
      <w:pgMar w:top="1701" w:right="1440" w:bottom="1440" w:left="144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513D" w:rsidRDefault="0053513D" w:rsidP="002C7D06">
      <w:r>
        <w:separator/>
      </w:r>
    </w:p>
  </w:endnote>
  <w:endnote w:type="continuationSeparator" w:id="0">
    <w:p w:rsidR="0053513D" w:rsidRDefault="0053513D" w:rsidP="002C7D0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HY신명조">
    <w:panose1 w:val="02030600000101010101"/>
    <w:charset w:val="81"/>
    <w:family w:val="roman"/>
    <w:pitch w:val="variable"/>
    <w:sig w:usb0="900002A7" w:usb1="29D77CF9" w:usb2="00000010" w:usb3="00000000" w:csb0="0008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84185155"/>
      <w:docPartObj>
        <w:docPartGallery w:val="Page Numbers (Bottom of Page)"/>
        <w:docPartUnique/>
      </w:docPartObj>
    </w:sdtPr>
    <w:sdtContent>
      <w:p w:rsidR="005E0483" w:rsidRDefault="005654BA">
        <w:pPr>
          <w:pStyle w:val="a4"/>
          <w:jc w:val="center"/>
        </w:pPr>
        <w:r w:rsidRPr="005654BA">
          <w:fldChar w:fldCharType="begin"/>
        </w:r>
        <w:r w:rsidR="005E0483">
          <w:instrText>PAGE   \* MERGEFORMAT</w:instrText>
        </w:r>
        <w:r w:rsidRPr="005654BA">
          <w:fldChar w:fldCharType="separate"/>
        </w:r>
        <w:r w:rsidR="003A5574" w:rsidRPr="003A5574">
          <w:rPr>
            <w:noProof/>
            <w:lang w:val="ko-KR"/>
          </w:rPr>
          <w:t>1</w:t>
        </w:r>
        <w:r>
          <w:rPr>
            <w:noProof/>
            <w:lang w:val="ko-KR"/>
          </w:rPr>
          <w:fldChar w:fldCharType="end"/>
        </w:r>
      </w:p>
    </w:sdtContent>
  </w:sdt>
  <w:p w:rsidR="005E0483" w:rsidRDefault="005E0483">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140932"/>
      <w:docPartObj>
        <w:docPartGallery w:val="Page Numbers (Bottom of Page)"/>
        <w:docPartUnique/>
      </w:docPartObj>
    </w:sdtPr>
    <w:sdtContent>
      <w:p w:rsidR="005E0483" w:rsidRDefault="005654BA">
        <w:pPr>
          <w:pStyle w:val="a4"/>
          <w:jc w:val="center"/>
        </w:pPr>
        <w:r w:rsidRPr="005654BA">
          <w:fldChar w:fldCharType="begin"/>
        </w:r>
        <w:r w:rsidR="005E0483">
          <w:instrText>PAGE   \* MERGEFORMAT</w:instrText>
        </w:r>
        <w:r w:rsidRPr="005654BA">
          <w:fldChar w:fldCharType="separate"/>
        </w:r>
        <w:r w:rsidR="003A5574" w:rsidRPr="003A5574">
          <w:rPr>
            <w:noProof/>
            <w:lang w:val="ko-KR"/>
          </w:rPr>
          <w:t>13</w:t>
        </w:r>
        <w:r>
          <w:rPr>
            <w:noProof/>
            <w:lang w:val="ko-KR"/>
          </w:rPr>
          <w:fldChar w:fldCharType="end"/>
        </w:r>
      </w:p>
    </w:sdtContent>
  </w:sdt>
  <w:p w:rsidR="005E0483" w:rsidRDefault="005E0483">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29329"/>
      <w:docPartObj>
        <w:docPartGallery w:val="Page Numbers (Bottom of Page)"/>
        <w:docPartUnique/>
      </w:docPartObj>
    </w:sdtPr>
    <w:sdtContent>
      <w:p w:rsidR="00F37862" w:rsidRDefault="005654BA">
        <w:pPr>
          <w:pStyle w:val="a4"/>
          <w:jc w:val="center"/>
        </w:pPr>
        <w:r w:rsidRPr="005654BA">
          <w:fldChar w:fldCharType="begin"/>
        </w:r>
        <w:r w:rsidR="00F37862">
          <w:instrText>PAGE   \* MERGEFORMAT</w:instrText>
        </w:r>
        <w:r w:rsidRPr="005654BA">
          <w:fldChar w:fldCharType="separate"/>
        </w:r>
        <w:r w:rsidR="003A5574" w:rsidRPr="003A5574">
          <w:rPr>
            <w:noProof/>
            <w:lang w:val="ko-KR"/>
          </w:rPr>
          <w:t>30</w:t>
        </w:r>
        <w:r>
          <w:rPr>
            <w:noProof/>
            <w:lang w:val="ko-KR"/>
          </w:rPr>
          <w:fldChar w:fldCharType="end"/>
        </w:r>
      </w:p>
    </w:sdtContent>
  </w:sdt>
  <w:p w:rsidR="00F37862" w:rsidRDefault="00F37862">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513D" w:rsidRDefault="0053513D" w:rsidP="002C7D06">
      <w:r>
        <w:separator/>
      </w:r>
    </w:p>
  </w:footnote>
  <w:footnote w:type="continuationSeparator" w:id="0">
    <w:p w:rsidR="0053513D" w:rsidRDefault="0053513D" w:rsidP="002C7D06">
      <w:r>
        <w:continuationSeparator/>
      </w:r>
    </w:p>
  </w:footnote>
  <w:footnote w:id="1">
    <w:p w:rsidR="005E0483" w:rsidRPr="00B6568E" w:rsidRDefault="005E0483" w:rsidP="00E3687C">
      <w:r w:rsidRPr="00E3687C">
        <w:rPr>
          <w:rStyle w:val="a5"/>
          <w:rFonts w:ascii="Times New Roman" w:eastAsia="HY신명조"/>
          <w:sz w:val="16"/>
        </w:rPr>
        <w:footnoteRef/>
      </w:r>
      <w:r w:rsidRPr="00E3687C">
        <w:rPr>
          <w:sz w:val="18"/>
        </w:rPr>
        <w:t xml:space="preserve"> 기관투자자의 군집행동에 대한 이론적 설명을 다룬 연구로는 </w:t>
      </w:r>
      <w:proofErr w:type="spellStart"/>
      <w:r w:rsidRPr="00E3687C">
        <w:rPr>
          <w:sz w:val="18"/>
        </w:rPr>
        <w:t>Hirshleifer</w:t>
      </w:r>
      <w:proofErr w:type="spellEnd"/>
      <w:r w:rsidRPr="00E3687C">
        <w:rPr>
          <w:sz w:val="18"/>
        </w:rPr>
        <w:t xml:space="preserve">, </w:t>
      </w:r>
      <w:proofErr w:type="spellStart"/>
      <w:r w:rsidRPr="00E3687C">
        <w:rPr>
          <w:sz w:val="18"/>
        </w:rPr>
        <w:t>Subrahmanyam</w:t>
      </w:r>
      <w:proofErr w:type="spellEnd"/>
      <w:r w:rsidRPr="00E3687C">
        <w:rPr>
          <w:sz w:val="18"/>
        </w:rPr>
        <w:t xml:space="preserve">, and Titman(1994), </w:t>
      </w:r>
      <w:proofErr w:type="spellStart"/>
      <w:r w:rsidRPr="00E3687C">
        <w:rPr>
          <w:sz w:val="18"/>
        </w:rPr>
        <w:t>Scharfstein</w:t>
      </w:r>
      <w:proofErr w:type="spellEnd"/>
      <w:r w:rsidRPr="00E3687C">
        <w:rPr>
          <w:sz w:val="18"/>
        </w:rPr>
        <w:t xml:space="preserve"> and Stein(1990)이 있다. </w:t>
      </w:r>
      <w:proofErr w:type="spellStart"/>
      <w:r w:rsidRPr="00E3687C">
        <w:rPr>
          <w:sz w:val="18"/>
        </w:rPr>
        <w:t>Hershleifer</w:t>
      </w:r>
      <w:proofErr w:type="spellEnd"/>
      <w:r w:rsidRPr="00E3687C">
        <w:rPr>
          <w:sz w:val="18"/>
        </w:rPr>
        <w:t xml:space="preserve"> et al</w:t>
      </w:r>
      <w:proofErr w:type="gramStart"/>
      <w:r w:rsidRPr="00E3687C">
        <w:rPr>
          <w:sz w:val="18"/>
        </w:rPr>
        <w:t>.(</w:t>
      </w:r>
      <w:proofErr w:type="gramEnd"/>
      <w:r w:rsidRPr="00E3687C">
        <w:rPr>
          <w:sz w:val="18"/>
        </w:rPr>
        <w:t xml:space="preserve">1994)는 군집행동이 모방거래 때문이 아니라 기관투자자의 정보획득시점이 다르기 때문이라고 설명하였으며, </w:t>
      </w:r>
      <w:proofErr w:type="spellStart"/>
      <w:r w:rsidRPr="00E3687C">
        <w:rPr>
          <w:sz w:val="18"/>
        </w:rPr>
        <w:t>Scharfstein</w:t>
      </w:r>
      <w:proofErr w:type="spellEnd"/>
      <w:r w:rsidRPr="00E3687C">
        <w:rPr>
          <w:sz w:val="18"/>
        </w:rPr>
        <w:t xml:space="preserve"> and Stein(1990)은 펀드매니저의 평판이나 보수가 그룹내의 평균과 비교되기 때문에 평균과 달리 행동할 유인이 없기 때문에, 군집행동이 발생한다고 설명하였다. </w:t>
      </w:r>
      <w:proofErr w:type="spellStart"/>
      <w:r w:rsidRPr="00E3687C">
        <w:rPr>
          <w:sz w:val="18"/>
          <w:szCs w:val="18"/>
        </w:rPr>
        <w:t>Lakonishok</w:t>
      </w:r>
      <w:proofErr w:type="spellEnd"/>
      <w:r w:rsidRPr="00E3687C">
        <w:rPr>
          <w:sz w:val="18"/>
          <w:szCs w:val="18"/>
        </w:rPr>
        <w:t xml:space="preserve">, </w:t>
      </w:r>
      <w:proofErr w:type="spellStart"/>
      <w:r w:rsidRPr="00E3687C">
        <w:rPr>
          <w:sz w:val="18"/>
          <w:szCs w:val="18"/>
        </w:rPr>
        <w:t>Shleifer</w:t>
      </w:r>
      <w:proofErr w:type="spellEnd"/>
      <w:r w:rsidRPr="00E3687C">
        <w:rPr>
          <w:sz w:val="18"/>
          <w:szCs w:val="18"/>
        </w:rPr>
        <w:t xml:space="preserve"> and </w:t>
      </w:r>
      <w:proofErr w:type="spellStart"/>
      <w:r w:rsidRPr="00E3687C">
        <w:rPr>
          <w:sz w:val="18"/>
          <w:szCs w:val="18"/>
        </w:rPr>
        <w:t>Vishiny</w:t>
      </w:r>
      <w:proofErr w:type="spellEnd"/>
      <w:r w:rsidRPr="00E3687C">
        <w:rPr>
          <w:sz w:val="18"/>
          <w:szCs w:val="18"/>
        </w:rPr>
        <w:t xml:space="preserve">(1992), </w:t>
      </w:r>
      <w:proofErr w:type="spellStart"/>
      <w:r w:rsidRPr="00E3687C">
        <w:rPr>
          <w:sz w:val="18"/>
          <w:szCs w:val="18"/>
        </w:rPr>
        <w:t>Grinblatt</w:t>
      </w:r>
      <w:proofErr w:type="spellEnd"/>
      <w:r w:rsidRPr="00E3687C">
        <w:rPr>
          <w:sz w:val="18"/>
          <w:szCs w:val="18"/>
        </w:rPr>
        <w:t xml:space="preserve">, Titman, and </w:t>
      </w:r>
      <w:proofErr w:type="spellStart"/>
      <w:r w:rsidRPr="00E3687C">
        <w:rPr>
          <w:sz w:val="18"/>
          <w:szCs w:val="18"/>
        </w:rPr>
        <w:t>Wermers</w:t>
      </w:r>
      <w:proofErr w:type="spellEnd"/>
      <w:r w:rsidRPr="00E3687C">
        <w:rPr>
          <w:sz w:val="18"/>
          <w:szCs w:val="18"/>
        </w:rPr>
        <w:t xml:space="preserve">(1995)는 </w:t>
      </w:r>
      <w:proofErr w:type="spellStart"/>
      <w:r w:rsidRPr="00E3687C">
        <w:rPr>
          <w:sz w:val="18"/>
          <w:szCs w:val="18"/>
        </w:rPr>
        <w:t>연기금</w:t>
      </w:r>
      <w:proofErr w:type="spellEnd"/>
      <w:r w:rsidRPr="00E3687C">
        <w:rPr>
          <w:sz w:val="18"/>
          <w:szCs w:val="18"/>
        </w:rPr>
        <w:t xml:space="preserve"> 및 </w:t>
      </w:r>
      <w:proofErr w:type="spellStart"/>
      <w:r w:rsidRPr="00E3687C">
        <w:rPr>
          <w:sz w:val="18"/>
          <w:szCs w:val="18"/>
        </w:rPr>
        <w:t>뮤츄얼펀드</w:t>
      </w:r>
      <w:proofErr w:type="spellEnd"/>
      <w:r w:rsidRPr="00E3687C">
        <w:rPr>
          <w:sz w:val="18"/>
          <w:szCs w:val="18"/>
        </w:rPr>
        <w:t xml:space="preserve"> 매니저들의 거래자료를 이용해 기관투자자들이 </w:t>
      </w:r>
      <w:proofErr w:type="spellStart"/>
      <w:r w:rsidRPr="00E3687C">
        <w:rPr>
          <w:sz w:val="18"/>
          <w:szCs w:val="18"/>
        </w:rPr>
        <w:t>모멘텀</w:t>
      </w:r>
      <w:proofErr w:type="spellEnd"/>
      <w:r w:rsidRPr="00E3687C">
        <w:rPr>
          <w:sz w:val="18"/>
          <w:szCs w:val="18"/>
        </w:rPr>
        <w:t xml:space="preserve"> 거래를 하며, 실제로 군집행동이 관찰됨을 보였다. </w:t>
      </w:r>
      <w:proofErr w:type="spellStart"/>
      <w:r w:rsidRPr="00E3687C">
        <w:rPr>
          <w:sz w:val="18"/>
          <w:szCs w:val="18"/>
        </w:rPr>
        <w:t>Falkenstein</w:t>
      </w:r>
      <w:proofErr w:type="spellEnd"/>
      <w:r w:rsidRPr="00E3687C">
        <w:rPr>
          <w:sz w:val="18"/>
          <w:szCs w:val="18"/>
        </w:rPr>
        <w:t xml:space="preserve">(1996), </w:t>
      </w:r>
      <w:proofErr w:type="spellStart"/>
      <w:r w:rsidRPr="00E3687C">
        <w:rPr>
          <w:sz w:val="18"/>
          <w:szCs w:val="18"/>
        </w:rPr>
        <w:t>Wermers</w:t>
      </w:r>
      <w:proofErr w:type="spellEnd"/>
      <w:r w:rsidRPr="00E3687C">
        <w:rPr>
          <w:sz w:val="18"/>
          <w:szCs w:val="18"/>
        </w:rPr>
        <w:t xml:space="preserve">(1999), </w:t>
      </w:r>
      <w:proofErr w:type="spellStart"/>
      <w:r w:rsidRPr="00E3687C">
        <w:rPr>
          <w:sz w:val="18"/>
          <w:szCs w:val="18"/>
        </w:rPr>
        <w:t>Nofsinger</w:t>
      </w:r>
      <w:proofErr w:type="spellEnd"/>
      <w:r w:rsidRPr="00E3687C">
        <w:rPr>
          <w:sz w:val="18"/>
          <w:szCs w:val="18"/>
        </w:rPr>
        <w:t xml:space="preserve"> and </w:t>
      </w:r>
      <w:proofErr w:type="spellStart"/>
      <w:r w:rsidRPr="00E3687C">
        <w:rPr>
          <w:sz w:val="18"/>
          <w:szCs w:val="18"/>
        </w:rPr>
        <w:t>Sias</w:t>
      </w:r>
      <w:proofErr w:type="spellEnd"/>
      <w:r w:rsidRPr="00E3687C">
        <w:rPr>
          <w:sz w:val="18"/>
          <w:szCs w:val="18"/>
        </w:rPr>
        <w:t xml:space="preserve">(1999)등의 연구도 모두 기관투자자의 군집행동과 </w:t>
      </w:r>
      <w:proofErr w:type="spellStart"/>
      <w:r w:rsidRPr="00E3687C">
        <w:rPr>
          <w:sz w:val="18"/>
          <w:szCs w:val="18"/>
        </w:rPr>
        <w:t>모멘텀</w:t>
      </w:r>
      <w:proofErr w:type="spellEnd"/>
      <w:r w:rsidRPr="00E3687C">
        <w:rPr>
          <w:sz w:val="18"/>
          <w:szCs w:val="18"/>
        </w:rPr>
        <w:t xml:space="preserve"> 거래를 지지하는 결과를 보여주고 있다.</w:t>
      </w:r>
    </w:p>
  </w:footnote>
  <w:footnote w:id="2">
    <w:p w:rsidR="005E0483" w:rsidRPr="00DE2842" w:rsidRDefault="005E0483" w:rsidP="00DE2842">
      <w:pPr>
        <w:rPr>
          <w:sz w:val="18"/>
        </w:rPr>
      </w:pPr>
      <w:r w:rsidRPr="00DE2842">
        <w:rPr>
          <w:rStyle w:val="a5"/>
          <w:rFonts w:ascii="Times New Roman"/>
          <w:sz w:val="16"/>
          <w:szCs w:val="18"/>
        </w:rPr>
        <w:footnoteRef/>
      </w:r>
      <w:r w:rsidRPr="00DE2842">
        <w:rPr>
          <w:sz w:val="18"/>
        </w:rPr>
        <w:t xml:space="preserve"> 한국시장에서 </w:t>
      </w:r>
      <w:proofErr w:type="spellStart"/>
      <w:r w:rsidRPr="00DE2842">
        <w:rPr>
          <w:sz w:val="18"/>
        </w:rPr>
        <w:t>투자자별</w:t>
      </w:r>
      <w:proofErr w:type="spellEnd"/>
      <w:r w:rsidRPr="00DE2842">
        <w:rPr>
          <w:sz w:val="18"/>
        </w:rPr>
        <w:t xml:space="preserve"> 거래행태에 대한 연구는 주로 외국인투자자를 중심으로 이루어졌다. 김선호(2001), 유진, 장순재(2012)는 외국인 투자자 일별 순매수비율을 이용하여 분석한 결과, 외국인 투자자는 종목을 선택할 때 군집행태 및 양의 피드백 거래를 취함을 보고 하였다. 이가연, 이윤구(2004)는 </w:t>
      </w:r>
      <w:proofErr w:type="spellStart"/>
      <w:r w:rsidRPr="00DE2842">
        <w:rPr>
          <w:sz w:val="18"/>
        </w:rPr>
        <w:t>Grinblatt-Keloharju</w:t>
      </w:r>
      <w:proofErr w:type="spellEnd"/>
      <w:r w:rsidRPr="00DE2842">
        <w:rPr>
          <w:sz w:val="18"/>
        </w:rPr>
        <w:t xml:space="preserve">(2000)의 방법론을 그대로 사용하여, 투자 </w:t>
      </w:r>
      <w:proofErr w:type="spellStart"/>
      <w:r w:rsidRPr="00DE2842">
        <w:rPr>
          <w:sz w:val="18"/>
        </w:rPr>
        <w:t>주체별</w:t>
      </w:r>
      <w:proofErr w:type="spellEnd"/>
      <w:r w:rsidRPr="00DE2842">
        <w:rPr>
          <w:sz w:val="18"/>
        </w:rPr>
        <w:t xml:space="preserve"> 거래행태와 성과를 비교하였다. </w:t>
      </w:r>
      <w:r>
        <w:rPr>
          <w:sz w:val="18"/>
        </w:rPr>
        <w:t>성과측면에서</w:t>
      </w:r>
      <w:r w:rsidRPr="00DE2842">
        <w:rPr>
          <w:sz w:val="18"/>
        </w:rPr>
        <w:t xml:space="preserve"> 기관투자자의 성과가 가장 좋고, 외국인과 개인투자자가 뒤를 이었다.</w:t>
      </w:r>
    </w:p>
  </w:footnote>
  <w:footnote w:id="3">
    <w:p w:rsidR="005E0483" w:rsidRPr="00D671D1" w:rsidRDefault="005E0483" w:rsidP="00D671D1">
      <w:pPr>
        <w:rPr>
          <w:sz w:val="18"/>
        </w:rPr>
      </w:pPr>
      <w:r w:rsidRPr="00D671D1">
        <w:rPr>
          <w:rStyle w:val="a5"/>
          <w:rFonts w:ascii="HY신명조" w:eastAsia="HY신명조" w:hint="eastAsia"/>
          <w:sz w:val="16"/>
          <w:szCs w:val="20"/>
        </w:rPr>
        <w:footnoteRef/>
      </w:r>
      <w:r w:rsidRPr="00D671D1">
        <w:rPr>
          <w:rFonts w:hint="eastAsia"/>
          <w:sz w:val="18"/>
        </w:rPr>
        <w:t xml:space="preserve"> </w:t>
      </w:r>
      <w:proofErr w:type="spellStart"/>
      <w:r w:rsidRPr="00D671D1">
        <w:rPr>
          <w:rFonts w:hint="eastAsia"/>
          <w:sz w:val="18"/>
        </w:rPr>
        <w:t>Chakravarty</w:t>
      </w:r>
      <w:proofErr w:type="spellEnd"/>
      <w:r w:rsidRPr="00D671D1">
        <w:rPr>
          <w:rFonts w:hint="eastAsia"/>
          <w:sz w:val="18"/>
        </w:rPr>
        <w:t xml:space="preserve"> et al</w:t>
      </w:r>
      <w:proofErr w:type="gramStart"/>
      <w:r w:rsidRPr="00D671D1">
        <w:rPr>
          <w:rFonts w:hint="eastAsia"/>
          <w:sz w:val="18"/>
        </w:rPr>
        <w:t>.(</w:t>
      </w:r>
      <w:proofErr w:type="gramEnd"/>
      <w:r w:rsidRPr="00D671D1">
        <w:rPr>
          <w:rFonts w:hint="eastAsia"/>
          <w:sz w:val="18"/>
        </w:rPr>
        <w:t xml:space="preserve">2004)는 옵션의 가격발견기능이 </w:t>
      </w:r>
      <w:proofErr w:type="spellStart"/>
      <w:r w:rsidRPr="00D671D1">
        <w:rPr>
          <w:rFonts w:hint="eastAsia"/>
          <w:sz w:val="18"/>
        </w:rPr>
        <w:t>레버리지</w:t>
      </w:r>
      <w:proofErr w:type="spellEnd"/>
      <w:r w:rsidRPr="00D671D1">
        <w:rPr>
          <w:rFonts w:hint="eastAsia"/>
          <w:sz w:val="18"/>
        </w:rPr>
        <w:t xml:space="preserve"> 정도와 유동성에 의해 결정됨을 보였으며, </w:t>
      </w:r>
      <w:proofErr w:type="spellStart"/>
      <w:r w:rsidRPr="00D671D1">
        <w:rPr>
          <w:rFonts w:hint="eastAsia"/>
          <w:sz w:val="18"/>
        </w:rPr>
        <w:t>Anand</w:t>
      </w:r>
      <w:proofErr w:type="spellEnd"/>
      <w:r w:rsidRPr="00D671D1">
        <w:rPr>
          <w:rFonts w:hint="eastAsia"/>
          <w:sz w:val="18"/>
        </w:rPr>
        <w:t xml:space="preserve"> and </w:t>
      </w:r>
      <w:proofErr w:type="spellStart"/>
      <w:r w:rsidRPr="00D671D1">
        <w:rPr>
          <w:rFonts w:hint="eastAsia"/>
          <w:sz w:val="18"/>
        </w:rPr>
        <w:t>Charkravarty</w:t>
      </w:r>
      <w:proofErr w:type="spellEnd"/>
      <w:r w:rsidRPr="00D671D1">
        <w:rPr>
          <w:rFonts w:hint="eastAsia"/>
          <w:sz w:val="18"/>
        </w:rPr>
        <w:t xml:space="preserve">(2007)은 옵션시장의 은닉거래(stealth trading)이 </w:t>
      </w:r>
      <w:proofErr w:type="spellStart"/>
      <w:r w:rsidRPr="00D671D1">
        <w:rPr>
          <w:rFonts w:hint="eastAsia"/>
          <w:sz w:val="18"/>
        </w:rPr>
        <w:t>레버리지와</w:t>
      </w:r>
      <w:proofErr w:type="spellEnd"/>
      <w:r w:rsidRPr="00D671D1">
        <w:rPr>
          <w:rFonts w:hint="eastAsia"/>
          <w:sz w:val="18"/>
        </w:rPr>
        <w:t xml:space="preserve"> 유동성의 함수임을 보였다. 이러한 관점에서 옵션, 특히 </w:t>
      </w:r>
      <w:proofErr w:type="spellStart"/>
      <w:r w:rsidRPr="00D671D1">
        <w:rPr>
          <w:rFonts w:hint="eastAsia"/>
          <w:sz w:val="18"/>
        </w:rPr>
        <w:t>외가격옵션이</w:t>
      </w:r>
      <w:proofErr w:type="spellEnd"/>
      <w:r w:rsidRPr="00D671D1">
        <w:rPr>
          <w:rFonts w:hint="eastAsia"/>
          <w:sz w:val="18"/>
        </w:rPr>
        <w:t xml:space="preserve"> 정보거래자가 가장 선호하는 투자 대상이 됨을 주장하였다.</w:t>
      </w:r>
    </w:p>
  </w:footnote>
  <w:footnote w:id="4">
    <w:p w:rsidR="005E0483" w:rsidRPr="0039643C" w:rsidRDefault="005E0483" w:rsidP="0039643C">
      <w:pPr>
        <w:rPr>
          <w:sz w:val="18"/>
          <w:szCs w:val="18"/>
        </w:rPr>
      </w:pPr>
      <w:r w:rsidRPr="0039643C">
        <w:rPr>
          <w:rStyle w:val="a5"/>
          <w:rFonts w:ascii="Times New Roman" w:eastAsia="HY신명조" w:hAnsi="Times New Roman" w:cs="Times New Roman"/>
          <w:sz w:val="16"/>
          <w:szCs w:val="20"/>
        </w:rPr>
        <w:footnoteRef/>
      </w:r>
      <w:r w:rsidRPr="0039643C">
        <w:rPr>
          <w:sz w:val="18"/>
        </w:rPr>
        <w:t xml:space="preserve"> 정재만, 김재근(2005)는 옵션시장에서 개인투자자가 지속적인 손실을 기록하는 반면, 기관과 외국인투자자가 이익을 기록하고 있음을 보였다. Kang and Park (2008)도 투자자 별 거래전략을 중점적으로 살핀 연구는 아니지만, 본문의 투자자 별 성과를 보면 </w:t>
      </w:r>
      <w:proofErr w:type="spellStart"/>
      <w:r w:rsidRPr="0039643C">
        <w:rPr>
          <w:sz w:val="18"/>
        </w:rPr>
        <w:t>투자자별</w:t>
      </w:r>
      <w:proofErr w:type="spellEnd"/>
      <w:r w:rsidRPr="0039643C">
        <w:rPr>
          <w:sz w:val="18"/>
        </w:rPr>
        <w:t xml:space="preserve"> 특성과 거래전략에 대한 간접적인 추론을 가능하게 해준다. Kang and Park (2008)은 net buying pressure 효과를 이용해 KOSPI 200 옵션시장의 각 투자자 그룹에서 Limit of Arbitrage, Volatility Learning Hypothesis, Direction Learning Hypothesis를 비교 검증하였다. 이 밖에 </w:t>
      </w:r>
      <w:proofErr w:type="spellStart"/>
      <w:r w:rsidRPr="0039643C">
        <w:rPr>
          <w:sz w:val="18"/>
        </w:rPr>
        <w:t>Lakonishok</w:t>
      </w:r>
      <w:proofErr w:type="spellEnd"/>
      <w:r w:rsidRPr="0039643C">
        <w:rPr>
          <w:sz w:val="18"/>
        </w:rPr>
        <w:t xml:space="preserve"> et al</w:t>
      </w:r>
      <w:proofErr w:type="gramStart"/>
      <w:r w:rsidRPr="0039643C">
        <w:rPr>
          <w:sz w:val="18"/>
        </w:rPr>
        <w:t>.(</w:t>
      </w:r>
      <w:proofErr w:type="gramEnd"/>
      <w:r w:rsidRPr="0039643C">
        <w:rPr>
          <w:sz w:val="18"/>
        </w:rPr>
        <w:t>200</w:t>
      </w:r>
      <w:r w:rsidRPr="0039643C">
        <w:rPr>
          <w:rFonts w:hint="eastAsia"/>
          <w:sz w:val="18"/>
        </w:rPr>
        <w:t>7</w:t>
      </w:r>
      <w:r w:rsidRPr="0039643C">
        <w:rPr>
          <w:sz w:val="18"/>
        </w:rPr>
        <w:t xml:space="preserve">)은 미국의 중개인 회사(brokerage firms)의 종류에 따라 옵션시장의 투자행태와 성과 등을 비교하였다. 자료의 한계로 투자자 그룹을 직접 나누지 못하고, 대신 각 </w:t>
      </w:r>
      <w:r w:rsidRPr="0039643C">
        <w:rPr>
          <w:sz w:val="18"/>
          <w:szCs w:val="18"/>
        </w:rPr>
        <w:t xml:space="preserve">투자자그룹이 주로 이용하는 회사의 종류에 따라 간접적으로 유형을 비교 분석하였다. </w:t>
      </w:r>
    </w:p>
  </w:footnote>
  <w:footnote w:id="5">
    <w:p w:rsidR="005E0483" w:rsidRPr="00201A72" w:rsidRDefault="005E0483" w:rsidP="00201A72">
      <w:pPr>
        <w:rPr>
          <w:sz w:val="18"/>
        </w:rPr>
      </w:pPr>
      <w:r w:rsidRPr="00201A72">
        <w:rPr>
          <w:rStyle w:val="a5"/>
          <w:rFonts w:ascii="HY신명조" w:eastAsia="HY신명조" w:hint="eastAsia"/>
          <w:sz w:val="16"/>
          <w:szCs w:val="20"/>
        </w:rPr>
        <w:footnoteRef/>
      </w:r>
      <w:r w:rsidRPr="00201A72">
        <w:rPr>
          <w:rFonts w:hint="eastAsia"/>
          <w:sz w:val="18"/>
        </w:rPr>
        <w:t xml:space="preserve"> 투자자는 증권회사(금융투자회사), 보험사, </w:t>
      </w:r>
      <w:proofErr w:type="spellStart"/>
      <w:r w:rsidRPr="00201A72">
        <w:rPr>
          <w:rFonts w:hint="eastAsia"/>
          <w:sz w:val="18"/>
        </w:rPr>
        <w:t>자산운용사</w:t>
      </w:r>
      <w:proofErr w:type="spellEnd"/>
      <w:r w:rsidRPr="00201A72">
        <w:rPr>
          <w:rFonts w:hint="eastAsia"/>
          <w:sz w:val="18"/>
        </w:rPr>
        <w:t xml:space="preserve"> 및 투신사(집합투자회사), 사모펀드, 은행, 종합금융 및 상호저축은행, 기금공제회, 국가 지방단체 및 국제기구, 개인, 외국인투자고유등록번호가 있는 외국인, 그 밖의 외국인으로 11개의 그룹으로 나뉜다. </w:t>
      </w:r>
    </w:p>
  </w:footnote>
  <w:footnote w:id="6">
    <w:p w:rsidR="000C676C" w:rsidRPr="000C676C" w:rsidRDefault="000C676C" w:rsidP="000C676C">
      <w:pPr>
        <w:rPr>
          <w:sz w:val="18"/>
        </w:rPr>
      </w:pPr>
      <w:r w:rsidRPr="000C676C">
        <w:rPr>
          <w:rStyle w:val="a5"/>
          <w:sz w:val="18"/>
        </w:rPr>
        <w:footnoteRef/>
      </w:r>
      <w:r w:rsidRPr="000C676C">
        <w:rPr>
          <w:sz w:val="18"/>
        </w:rPr>
        <w:t xml:space="preserve"> </w:t>
      </w:r>
      <w:r>
        <w:rPr>
          <w:rFonts w:hint="eastAsia"/>
          <w:sz w:val="18"/>
        </w:rPr>
        <w:t xml:space="preserve">측도의 </w:t>
      </w:r>
      <w:proofErr w:type="spellStart"/>
      <w:r>
        <w:rPr>
          <w:rFonts w:hint="eastAsia"/>
          <w:sz w:val="18"/>
        </w:rPr>
        <w:t>강건성을</w:t>
      </w:r>
      <w:proofErr w:type="spellEnd"/>
      <w:r>
        <w:rPr>
          <w:rFonts w:hint="eastAsia"/>
          <w:sz w:val="18"/>
        </w:rPr>
        <w:t xml:space="preserve"> 검증하기 위하여 전년도 평균 거래량을 이용해 정규화를 한 경우에도 본 연구의 결과는 크게 달라지지 않는다. </w:t>
      </w:r>
    </w:p>
  </w:footnote>
  <w:footnote w:id="7">
    <w:p w:rsidR="005E0483" w:rsidRPr="00201A72" w:rsidRDefault="005E0483" w:rsidP="009E0AF3">
      <w:r w:rsidRPr="009E0AF3">
        <w:rPr>
          <w:rStyle w:val="a5"/>
          <w:rFonts w:ascii="Times New Roman"/>
          <w:sz w:val="14"/>
        </w:rPr>
        <w:footnoteRef/>
      </w:r>
      <w:r w:rsidRPr="009E0AF3">
        <w:rPr>
          <w:sz w:val="18"/>
        </w:rPr>
        <w:t xml:space="preserve"> 개인투자자</w:t>
      </w:r>
      <w:r w:rsidRPr="009E0AF3">
        <w:rPr>
          <w:rFonts w:hint="eastAsia"/>
          <w:sz w:val="18"/>
        </w:rPr>
        <w:t xml:space="preserve">가 옵션매수성향을 보이는 것은 </w:t>
      </w:r>
      <w:proofErr w:type="spellStart"/>
      <w:r>
        <w:rPr>
          <w:rFonts w:hint="eastAsia"/>
          <w:sz w:val="18"/>
        </w:rPr>
        <w:t>Chakravarty</w:t>
      </w:r>
      <w:proofErr w:type="spellEnd"/>
      <w:r>
        <w:rPr>
          <w:rFonts w:hint="eastAsia"/>
          <w:sz w:val="18"/>
        </w:rPr>
        <w:t xml:space="preserve"> et al</w:t>
      </w:r>
      <w:proofErr w:type="gramStart"/>
      <w:r>
        <w:rPr>
          <w:rFonts w:hint="eastAsia"/>
          <w:sz w:val="18"/>
        </w:rPr>
        <w:t>.(</w:t>
      </w:r>
      <w:proofErr w:type="gramEnd"/>
      <w:r>
        <w:rPr>
          <w:rFonts w:hint="eastAsia"/>
          <w:sz w:val="18"/>
        </w:rPr>
        <w:t xml:space="preserve">2004), </w:t>
      </w:r>
      <w:proofErr w:type="spellStart"/>
      <w:r w:rsidRPr="009E0AF3">
        <w:rPr>
          <w:rFonts w:hint="eastAsia"/>
          <w:sz w:val="18"/>
        </w:rPr>
        <w:t>Anand</w:t>
      </w:r>
      <w:proofErr w:type="spellEnd"/>
      <w:r w:rsidRPr="009E0AF3">
        <w:rPr>
          <w:rFonts w:hint="eastAsia"/>
          <w:sz w:val="18"/>
        </w:rPr>
        <w:t xml:space="preserve"> and </w:t>
      </w:r>
      <w:proofErr w:type="spellStart"/>
      <w:r w:rsidRPr="009E0AF3">
        <w:rPr>
          <w:rFonts w:hint="eastAsia"/>
          <w:sz w:val="18"/>
        </w:rPr>
        <w:t>Chakravarty</w:t>
      </w:r>
      <w:proofErr w:type="spellEnd"/>
      <w:r w:rsidRPr="009E0AF3">
        <w:rPr>
          <w:rFonts w:hint="eastAsia"/>
          <w:sz w:val="18"/>
        </w:rPr>
        <w:t>(2007)</w:t>
      </w:r>
      <w:r>
        <w:rPr>
          <w:rFonts w:hint="eastAsia"/>
          <w:sz w:val="18"/>
        </w:rPr>
        <w:t xml:space="preserve">, Kang and Park(2008), 정재만, 김재근(2005), 윤선중, 김소정(2013) 등에 널리 알려져 있다.  </w:t>
      </w:r>
    </w:p>
  </w:footnote>
  <w:footnote w:id="8">
    <w:p w:rsidR="005E0483" w:rsidRPr="00910278" w:rsidRDefault="005E0483" w:rsidP="00D23F33">
      <w:r w:rsidRPr="00D23F33">
        <w:rPr>
          <w:rStyle w:val="a5"/>
          <w:sz w:val="16"/>
        </w:rPr>
        <w:footnoteRef/>
      </w:r>
      <w:r w:rsidRPr="00D23F33">
        <w:rPr>
          <w:sz w:val="18"/>
        </w:rPr>
        <w:t xml:space="preserve"> </w:t>
      </w:r>
      <w:r w:rsidRPr="00D23F33">
        <w:rPr>
          <w:rFonts w:hint="eastAsia"/>
          <w:sz w:val="18"/>
        </w:rPr>
        <w:t>본문에 정리된 모든 실증분석 결과는 거래량을 이용해 분석되었으며, 거래대금을 이용한 분석결과는 지면의 한계로 생략해 주었다.</w:t>
      </w:r>
    </w:p>
  </w:footnote>
  <w:footnote w:id="9">
    <w:p w:rsidR="005E0483" w:rsidRPr="006C5C22" w:rsidRDefault="005E0483" w:rsidP="006C5C22">
      <w:r w:rsidRPr="006C5C22">
        <w:rPr>
          <w:rStyle w:val="a5"/>
          <w:sz w:val="18"/>
        </w:rPr>
        <w:footnoteRef/>
      </w:r>
      <w:r w:rsidRPr="006C5C22">
        <w:rPr>
          <w:sz w:val="18"/>
        </w:rPr>
        <w:t xml:space="preserve"> </w:t>
      </w:r>
      <w:r w:rsidRPr="006C5C22">
        <w:rPr>
          <w:rFonts w:hint="eastAsia"/>
          <w:sz w:val="18"/>
        </w:rPr>
        <w:t xml:space="preserve">자료는 주간자료로 주간 외국인기관투자자의 거래강도와 </w:t>
      </w:r>
      <w:proofErr w:type="spellStart"/>
      <w:r w:rsidRPr="006C5C22">
        <w:rPr>
          <w:rFonts w:hint="eastAsia"/>
          <w:sz w:val="18"/>
        </w:rPr>
        <w:t>동시점</w:t>
      </w:r>
      <w:proofErr w:type="spellEnd"/>
      <w:r w:rsidRPr="006C5C22">
        <w:rPr>
          <w:rFonts w:hint="eastAsia"/>
          <w:sz w:val="18"/>
        </w:rPr>
        <w:t xml:space="preserve"> 변동성의 변화를 보여준다. 따라서 외국인투자자의 거래로 인하여 </w:t>
      </w:r>
      <w:proofErr w:type="spellStart"/>
      <w:r w:rsidRPr="006C5C22">
        <w:rPr>
          <w:rFonts w:hint="eastAsia"/>
          <w:sz w:val="18"/>
        </w:rPr>
        <w:t>동시점</w:t>
      </w:r>
      <w:proofErr w:type="spellEnd"/>
      <w:r w:rsidRPr="006C5C22">
        <w:rPr>
          <w:rFonts w:hint="eastAsia"/>
          <w:sz w:val="18"/>
        </w:rPr>
        <w:t xml:space="preserve"> 변동성이 변화했다고 해석할 수 도 있다. 이에 대한 </w:t>
      </w:r>
      <w:r>
        <w:rPr>
          <w:rFonts w:hint="eastAsia"/>
          <w:sz w:val="18"/>
        </w:rPr>
        <w:t>엄밀한 분석은 Easley et al</w:t>
      </w:r>
      <w:proofErr w:type="gramStart"/>
      <w:r>
        <w:rPr>
          <w:rFonts w:hint="eastAsia"/>
          <w:sz w:val="18"/>
        </w:rPr>
        <w:t>.(</w:t>
      </w:r>
      <w:proofErr w:type="gramEnd"/>
      <w:r>
        <w:rPr>
          <w:rFonts w:hint="eastAsia"/>
          <w:sz w:val="18"/>
        </w:rPr>
        <w:t xml:space="preserve">1998) 등의 시장미시구조 연구 방법론을 이용해야 할 것이다. 본 연구는 </w:t>
      </w:r>
      <w:proofErr w:type="spellStart"/>
      <w:r>
        <w:rPr>
          <w:rFonts w:hint="eastAsia"/>
          <w:sz w:val="18"/>
        </w:rPr>
        <w:t>이들연구에</w:t>
      </w:r>
      <w:proofErr w:type="spellEnd"/>
      <w:r>
        <w:rPr>
          <w:rFonts w:hint="eastAsia"/>
          <w:sz w:val="18"/>
        </w:rPr>
        <w:t xml:space="preserve"> 비해 비교적 장기적인 변화를 관찰하기 때문에 </w:t>
      </w:r>
      <w:r w:rsidRPr="006C5C22">
        <w:rPr>
          <w:rFonts w:hint="eastAsia"/>
          <w:sz w:val="18"/>
        </w:rPr>
        <w:t xml:space="preserve">4.2의 </w:t>
      </w:r>
      <w:proofErr w:type="spellStart"/>
      <w:r w:rsidRPr="006C5C22">
        <w:rPr>
          <w:rFonts w:hint="eastAsia"/>
          <w:sz w:val="18"/>
        </w:rPr>
        <w:t>Decile</w:t>
      </w:r>
      <w:proofErr w:type="spellEnd"/>
      <w:r w:rsidRPr="006C5C22">
        <w:rPr>
          <w:rFonts w:hint="eastAsia"/>
          <w:sz w:val="18"/>
        </w:rPr>
        <w:t xml:space="preserve"> 분석에서 전후 변동성 변화를 관찰함으로써 </w:t>
      </w:r>
      <w:r>
        <w:rPr>
          <w:rFonts w:hint="eastAsia"/>
          <w:sz w:val="18"/>
        </w:rPr>
        <w:t>간접적으로 확인하였다.</w:t>
      </w:r>
    </w:p>
  </w:footnote>
  <w:footnote w:id="10">
    <w:p w:rsidR="005E0483" w:rsidRPr="00D53D90" w:rsidRDefault="005E0483" w:rsidP="00D53D90">
      <w:r w:rsidRPr="00D53D90">
        <w:rPr>
          <w:rStyle w:val="a5"/>
          <w:sz w:val="18"/>
        </w:rPr>
        <w:footnoteRef/>
      </w:r>
      <w:r w:rsidRPr="00D53D90">
        <w:rPr>
          <w:sz w:val="18"/>
        </w:rPr>
        <w:t xml:space="preserve"> </w:t>
      </w:r>
      <w:r w:rsidRPr="00D53D90">
        <w:rPr>
          <w:rFonts w:hint="eastAsia"/>
          <w:sz w:val="18"/>
        </w:rPr>
        <w:t xml:space="preserve">투자회사의 매도가 변동성의 하락과 관련되어 있다는 결과는 순매도압력(Net Buying Pressure; Net Selling Pressure로 해석될 여지가 있다. </w:t>
      </w:r>
      <w:proofErr w:type="spellStart"/>
      <w:r w:rsidRPr="00D53D90">
        <w:rPr>
          <w:sz w:val="18"/>
        </w:rPr>
        <w:t>Bollen</w:t>
      </w:r>
      <w:proofErr w:type="spellEnd"/>
      <w:r w:rsidRPr="00D53D90">
        <w:rPr>
          <w:sz w:val="18"/>
        </w:rPr>
        <w:t xml:space="preserve"> and Whaley(2004)와 </w:t>
      </w:r>
      <w:proofErr w:type="spellStart"/>
      <w:r w:rsidRPr="00D53D90">
        <w:rPr>
          <w:sz w:val="18"/>
        </w:rPr>
        <w:t>Garleanu</w:t>
      </w:r>
      <w:proofErr w:type="spellEnd"/>
      <w:r w:rsidRPr="00D53D90">
        <w:rPr>
          <w:sz w:val="18"/>
        </w:rPr>
        <w:t xml:space="preserve"> et al</w:t>
      </w:r>
      <w:proofErr w:type="gramStart"/>
      <w:r w:rsidRPr="00D53D90">
        <w:rPr>
          <w:sz w:val="18"/>
        </w:rPr>
        <w:t>.(</w:t>
      </w:r>
      <w:proofErr w:type="gramEnd"/>
      <w:r w:rsidRPr="00D53D90">
        <w:rPr>
          <w:sz w:val="18"/>
        </w:rPr>
        <w:t>2006)이 지적한 바와 같이, 불완전시장에서 순매수 또는 순매도 압력이 가격 또는 변동성에 영향을 줄 수 있다는 사실과 일관된다.</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D97F0E"/>
    <w:multiLevelType w:val="hybridMultilevel"/>
    <w:tmpl w:val="F9D2961E"/>
    <w:lvl w:ilvl="0" w:tplc="36FCC47A">
      <w:start w:val="1"/>
      <w:numFmt w:val="chosung"/>
      <w:lvlText w:val="%1."/>
      <w:lvlJc w:val="left"/>
      <w:pPr>
        <w:ind w:left="1155" w:hanging="360"/>
      </w:pPr>
      <w:rPr>
        <w:rFonts w:hint="default"/>
      </w:rPr>
    </w:lvl>
    <w:lvl w:ilvl="1" w:tplc="04090019" w:tentative="1">
      <w:start w:val="1"/>
      <w:numFmt w:val="upperLetter"/>
      <w:lvlText w:val="%2."/>
      <w:lvlJc w:val="left"/>
      <w:pPr>
        <w:ind w:left="1595" w:hanging="400"/>
      </w:pPr>
    </w:lvl>
    <w:lvl w:ilvl="2" w:tplc="0409001B" w:tentative="1">
      <w:start w:val="1"/>
      <w:numFmt w:val="lowerRoman"/>
      <w:lvlText w:val="%3."/>
      <w:lvlJc w:val="right"/>
      <w:pPr>
        <w:ind w:left="1995" w:hanging="400"/>
      </w:pPr>
    </w:lvl>
    <w:lvl w:ilvl="3" w:tplc="0409000F" w:tentative="1">
      <w:start w:val="1"/>
      <w:numFmt w:val="decimal"/>
      <w:lvlText w:val="%4."/>
      <w:lvlJc w:val="left"/>
      <w:pPr>
        <w:ind w:left="2395" w:hanging="400"/>
      </w:pPr>
    </w:lvl>
    <w:lvl w:ilvl="4" w:tplc="04090019" w:tentative="1">
      <w:start w:val="1"/>
      <w:numFmt w:val="upperLetter"/>
      <w:lvlText w:val="%5."/>
      <w:lvlJc w:val="left"/>
      <w:pPr>
        <w:ind w:left="2795" w:hanging="400"/>
      </w:pPr>
    </w:lvl>
    <w:lvl w:ilvl="5" w:tplc="0409001B" w:tentative="1">
      <w:start w:val="1"/>
      <w:numFmt w:val="lowerRoman"/>
      <w:lvlText w:val="%6."/>
      <w:lvlJc w:val="right"/>
      <w:pPr>
        <w:ind w:left="3195" w:hanging="400"/>
      </w:pPr>
    </w:lvl>
    <w:lvl w:ilvl="6" w:tplc="0409000F" w:tentative="1">
      <w:start w:val="1"/>
      <w:numFmt w:val="decimal"/>
      <w:lvlText w:val="%7."/>
      <w:lvlJc w:val="left"/>
      <w:pPr>
        <w:ind w:left="3595" w:hanging="400"/>
      </w:pPr>
    </w:lvl>
    <w:lvl w:ilvl="7" w:tplc="04090019" w:tentative="1">
      <w:start w:val="1"/>
      <w:numFmt w:val="upperLetter"/>
      <w:lvlText w:val="%8."/>
      <w:lvlJc w:val="left"/>
      <w:pPr>
        <w:ind w:left="3995" w:hanging="400"/>
      </w:pPr>
    </w:lvl>
    <w:lvl w:ilvl="8" w:tplc="0409001B" w:tentative="1">
      <w:start w:val="1"/>
      <w:numFmt w:val="lowerRoman"/>
      <w:lvlText w:val="%9."/>
      <w:lvlJc w:val="right"/>
      <w:pPr>
        <w:ind w:left="4395" w:hanging="400"/>
      </w:pPr>
    </w:lvl>
  </w:abstractNum>
  <w:abstractNum w:abstractNumId="1">
    <w:nsid w:val="622C083F"/>
    <w:multiLevelType w:val="hybridMultilevel"/>
    <w:tmpl w:val="4B1CC678"/>
    <w:lvl w:ilvl="0" w:tplc="B97C7404">
      <w:start w:val="1"/>
      <w:numFmt w:val="decimal"/>
      <w:lvlText w:val="%1."/>
      <w:lvlJc w:val="left"/>
      <w:pPr>
        <w:ind w:left="360" w:hanging="360"/>
      </w:pPr>
      <w:rPr>
        <w:rFonts w:hint="default"/>
      </w:rPr>
    </w:lvl>
    <w:lvl w:ilvl="1" w:tplc="04090019">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1741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2C7D06"/>
    <w:rsid w:val="00021930"/>
    <w:rsid w:val="00023EE3"/>
    <w:rsid w:val="0007179F"/>
    <w:rsid w:val="00077D2C"/>
    <w:rsid w:val="000B783F"/>
    <w:rsid w:val="000C676C"/>
    <w:rsid w:val="000D3930"/>
    <w:rsid w:val="000E220E"/>
    <w:rsid w:val="001260D0"/>
    <w:rsid w:val="00127CA3"/>
    <w:rsid w:val="00131832"/>
    <w:rsid w:val="001763E8"/>
    <w:rsid w:val="00176968"/>
    <w:rsid w:val="001B3DC3"/>
    <w:rsid w:val="001C50E0"/>
    <w:rsid w:val="001D7875"/>
    <w:rsid w:val="00201A72"/>
    <w:rsid w:val="00203AE7"/>
    <w:rsid w:val="00204A5D"/>
    <w:rsid w:val="00221C09"/>
    <w:rsid w:val="0023579F"/>
    <w:rsid w:val="002606D1"/>
    <w:rsid w:val="00260DF4"/>
    <w:rsid w:val="00267CDB"/>
    <w:rsid w:val="00274322"/>
    <w:rsid w:val="00290146"/>
    <w:rsid w:val="002C17EC"/>
    <w:rsid w:val="002C7D06"/>
    <w:rsid w:val="002D60DA"/>
    <w:rsid w:val="00334651"/>
    <w:rsid w:val="003377A8"/>
    <w:rsid w:val="0034490A"/>
    <w:rsid w:val="00354604"/>
    <w:rsid w:val="00392C84"/>
    <w:rsid w:val="0039643C"/>
    <w:rsid w:val="003A5574"/>
    <w:rsid w:val="003C21BB"/>
    <w:rsid w:val="003C2BED"/>
    <w:rsid w:val="003E1217"/>
    <w:rsid w:val="003F434C"/>
    <w:rsid w:val="00400BC1"/>
    <w:rsid w:val="00411D89"/>
    <w:rsid w:val="00420B67"/>
    <w:rsid w:val="00475A54"/>
    <w:rsid w:val="0048311E"/>
    <w:rsid w:val="004C0A5F"/>
    <w:rsid w:val="004F6A79"/>
    <w:rsid w:val="0053513D"/>
    <w:rsid w:val="00565213"/>
    <w:rsid w:val="005654BA"/>
    <w:rsid w:val="005709E5"/>
    <w:rsid w:val="00573C69"/>
    <w:rsid w:val="00593F2F"/>
    <w:rsid w:val="005C4273"/>
    <w:rsid w:val="005D3E2B"/>
    <w:rsid w:val="005E0483"/>
    <w:rsid w:val="006043B7"/>
    <w:rsid w:val="00613E10"/>
    <w:rsid w:val="006159E9"/>
    <w:rsid w:val="006635E1"/>
    <w:rsid w:val="00663735"/>
    <w:rsid w:val="006C5C22"/>
    <w:rsid w:val="006E4FD0"/>
    <w:rsid w:val="006E6C79"/>
    <w:rsid w:val="006E7A74"/>
    <w:rsid w:val="006F2C09"/>
    <w:rsid w:val="00715D13"/>
    <w:rsid w:val="00734BF3"/>
    <w:rsid w:val="00746461"/>
    <w:rsid w:val="00752E84"/>
    <w:rsid w:val="0076403C"/>
    <w:rsid w:val="00791DEB"/>
    <w:rsid w:val="007A7718"/>
    <w:rsid w:val="007B307E"/>
    <w:rsid w:val="007C1351"/>
    <w:rsid w:val="007E1778"/>
    <w:rsid w:val="008447B5"/>
    <w:rsid w:val="00846C4A"/>
    <w:rsid w:val="00872B5B"/>
    <w:rsid w:val="008B42B8"/>
    <w:rsid w:val="008E0B75"/>
    <w:rsid w:val="008F2F12"/>
    <w:rsid w:val="0095630A"/>
    <w:rsid w:val="00963DAC"/>
    <w:rsid w:val="00985927"/>
    <w:rsid w:val="009A49C9"/>
    <w:rsid w:val="009A55A8"/>
    <w:rsid w:val="009B4DF8"/>
    <w:rsid w:val="009B56D6"/>
    <w:rsid w:val="009E0AF3"/>
    <w:rsid w:val="009E7C26"/>
    <w:rsid w:val="00A02F0C"/>
    <w:rsid w:val="00A04272"/>
    <w:rsid w:val="00A2610F"/>
    <w:rsid w:val="00A337A9"/>
    <w:rsid w:val="00A343FF"/>
    <w:rsid w:val="00AB6C77"/>
    <w:rsid w:val="00B07B20"/>
    <w:rsid w:val="00B107D3"/>
    <w:rsid w:val="00B1680D"/>
    <w:rsid w:val="00B26FB8"/>
    <w:rsid w:val="00B724D8"/>
    <w:rsid w:val="00BD7D2A"/>
    <w:rsid w:val="00BE0449"/>
    <w:rsid w:val="00BF166D"/>
    <w:rsid w:val="00C1307A"/>
    <w:rsid w:val="00C3035C"/>
    <w:rsid w:val="00C47D61"/>
    <w:rsid w:val="00C77754"/>
    <w:rsid w:val="00CB06D3"/>
    <w:rsid w:val="00CF6042"/>
    <w:rsid w:val="00CF78A1"/>
    <w:rsid w:val="00D10229"/>
    <w:rsid w:val="00D22F58"/>
    <w:rsid w:val="00D23F33"/>
    <w:rsid w:val="00D2799D"/>
    <w:rsid w:val="00D31F0F"/>
    <w:rsid w:val="00D46C80"/>
    <w:rsid w:val="00D50F48"/>
    <w:rsid w:val="00D53D90"/>
    <w:rsid w:val="00D671D1"/>
    <w:rsid w:val="00D8007C"/>
    <w:rsid w:val="00DE2842"/>
    <w:rsid w:val="00E038F6"/>
    <w:rsid w:val="00E05708"/>
    <w:rsid w:val="00E15FCF"/>
    <w:rsid w:val="00E3687C"/>
    <w:rsid w:val="00ED1C81"/>
    <w:rsid w:val="00ED550E"/>
    <w:rsid w:val="00F26873"/>
    <w:rsid w:val="00F37862"/>
    <w:rsid w:val="00F85F29"/>
    <w:rsid w:val="00FD205D"/>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5708"/>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C7D06"/>
    <w:pPr>
      <w:tabs>
        <w:tab w:val="center" w:pos="4513"/>
        <w:tab w:val="right" w:pos="9026"/>
      </w:tabs>
      <w:snapToGrid w:val="0"/>
    </w:pPr>
  </w:style>
  <w:style w:type="character" w:customStyle="1" w:styleId="Char">
    <w:name w:val="머리글 Char"/>
    <w:basedOn w:val="a0"/>
    <w:link w:val="a3"/>
    <w:uiPriority w:val="99"/>
    <w:semiHidden/>
    <w:rsid w:val="002C7D06"/>
  </w:style>
  <w:style w:type="paragraph" w:styleId="a4">
    <w:name w:val="footer"/>
    <w:basedOn w:val="a"/>
    <w:link w:val="Char0"/>
    <w:uiPriority w:val="99"/>
    <w:unhideWhenUsed/>
    <w:rsid w:val="002C7D06"/>
    <w:pPr>
      <w:tabs>
        <w:tab w:val="center" w:pos="4513"/>
        <w:tab w:val="right" w:pos="9026"/>
      </w:tabs>
      <w:snapToGrid w:val="0"/>
    </w:pPr>
  </w:style>
  <w:style w:type="character" w:customStyle="1" w:styleId="Char0">
    <w:name w:val="바닥글 Char"/>
    <w:basedOn w:val="a0"/>
    <w:link w:val="a4"/>
    <w:uiPriority w:val="99"/>
    <w:semiHidden/>
    <w:rsid w:val="002C7D06"/>
  </w:style>
  <w:style w:type="character" w:styleId="a5">
    <w:name w:val="footnote reference"/>
    <w:basedOn w:val="a0"/>
    <w:semiHidden/>
    <w:rsid w:val="002C7D06"/>
    <w:rPr>
      <w:vertAlign w:val="superscript"/>
    </w:rPr>
  </w:style>
  <w:style w:type="paragraph" w:styleId="a6">
    <w:name w:val="footnote text"/>
    <w:basedOn w:val="a"/>
    <w:link w:val="Char1"/>
    <w:semiHidden/>
    <w:rsid w:val="002C7D06"/>
    <w:pPr>
      <w:snapToGrid w:val="0"/>
      <w:jc w:val="left"/>
    </w:pPr>
    <w:rPr>
      <w:rFonts w:ascii="바탕" w:eastAsia="바탕" w:hAnsi="Times New Roman" w:cs="Times New Roman"/>
      <w:szCs w:val="24"/>
    </w:rPr>
  </w:style>
  <w:style w:type="character" w:customStyle="1" w:styleId="Char1">
    <w:name w:val="각주 텍스트 Char"/>
    <w:basedOn w:val="a0"/>
    <w:link w:val="a6"/>
    <w:uiPriority w:val="99"/>
    <w:semiHidden/>
    <w:rsid w:val="002C7D06"/>
    <w:rPr>
      <w:rFonts w:ascii="바탕" w:eastAsia="바탕" w:hAnsi="Times New Roman" w:cs="Times New Roman"/>
      <w:szCs w:val="24"/>
    </w:rPr>
  </w:style>
  <w:style w:type="character" w:styleId="a7">
    <w:name w:val="Hyperlink"/>
    <w:basedOn w:val="a0"/>
    <w:rsid w:val="002C7D06"/>
    <w:rPr>
      <w:color w:val="0000FF"/>
      <w:u w:val="single"/>
    </w:rPr>
  </w:style>
  <w:style w:type="paragraph" w:customStyle="1" w:styleId="a8">
    <w:name w:val="바탕글"/>
    <w:basedOn w:val="a"/>
    <w:rsid w:val="002C7D06"/>
    <w:pPr>
      <w:spacing w:line="384" w:lineRule="auto"/>
      <w:textAlignment w:val="baseline"/>
    </w:pPr>
    <w:rPr>
      <w:rFonts w:ascii="굴림" w:eastAsia="굴림" w:hAnsi="굴림" w:cs="굴림"/>
      <w:color w:val="000000"/>
      <w:kern w:val="0"/>
      <w:szCs w:val="20"/>
    </w:rPr>
  </w:style>
  <w:style w:type="paragraph" w:styleId="a9">
    <w:name w:val="List Paragraph"/>
    <w:basedOn w:val="a"/>
    <w:uiPriority w:val="34"/>
    <w:qFormat/>
    <w:rsid w:val="002C7D06"/>
    <w:pPr>
      <w:ind w:leftChars="400" w:left="800"/>
    </w:pPr>
  </w:style>
  <w:style w:type="character" w:styleId="aa">
    <w:name w:val="Placeholder Text"/>
    <w:basedOn w:val="a0"/>
    <w:uiPriority w:val="99"/>
    <w:semiHidden/>
    <w:rsid w:val="002C7D06"/>
    <w:rPr>
      <w:color w:val="808080"/>
    </w:rPr>
  </w:style>
  <w:style w:type="paragraph" w:styleId="ab">
    <w:name w:val="Balloon Text"/>
    <w:basedOn w:val="a"/>
    <w:link w:val="Char2"/>
    <w:uiPriority w:val="99"/>
    <w:semiHidden/>
    <w:unhideWhenUsed/>
    <w:rsid w:val="002C7D06"/>
    <w:rPr>
      <w:rFonts w:asciiTheme="majorHAnsi" w:eastAsiaTheme="majorEastAsia" w:hAnsiTheme="majorHAnsi" w:cstheme="majorBidi"/>
      <w:sz w:val="18"/>
      <w:szCs w:val="18"/>
    </w:rPr>
  </w:style>
  <w:style w:type="character" w:customStyle="1" w:styleId="Char2">
    <w:name w:val="풍선 도움말 텍스트 Char"/>
    <w:basedOn w:val="a0"/>
    <w:link w:val="ab"/>
    <w:uiPriority w:val="99"/>
    <w:semiHidden/>
    <w:rsid w:val="002C7D06"/>
    <w:rPr>
      <w:rFonts w:asciiTheme="majorHAnsi" w:eastAsiaTheme="majorEastAsia" w:hAnsiTheme="majorHAnsi" w:cstheme="majorBidi"/>
      <w:sz w:val="18"/>
      <w:szCs w:val="18"/>
    </w:rPr>
  </w:style>
  <w:style w:type="table" w:styleId="ac">
    <w:name w:val="Table Grid"/>
    <w:basedOn w:val="a1"/>
    <w:uiPriority w:val="59"/>
    <w:rsid w:val="0074646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 Spacing"/>
    <w:uiPriority w:val="1"/>
    <w:qFormat/>
    <w:rsid w:val="00201A72"/>
    <w:pPr>
      <w:widowControl w:val="0"/>
      <w:wordWrap w:val="0"/>
      <w:autoSpaceDE w:val="0"/>
      <w:autoSpaceDN w:val="0"/>
      <w:jc w:val="both"/>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wmf"/><Relationship Id="rId18" Type="http://schemas.openxmlformats.org/officeDocument/2006/relationships/oleObject" Target="embeddings/oleObject5.bin"/><Relationship Id="rId26" Type="http://schemas.openxmlformats.org/officeDocument/2006/relationships/image" Target="media/image8.wmf"/><Relationship Id="rId39" Type="http://schemas.openxmlformats.org/officeDocument/2006/relationships/oleObject" Target="embeddings/oleObject17.bin"/><Relationship Id="rId3" Type="http://schemas.openxmlformats.org/officeDocument/2006/relationships/styles" Target="styles.xml"/><Relationship Id="rId21" Type="http://schemas.openxmlformats.org/officeDocument/2006/relationships/oleObject" Target="embeddings/oleObject7.bin"/><Relationship Id="rId34" Type="http://schemas.openxmlformats.org/officeDocument/2006/relationships/image" Target="media/image12.wmf"/><Relationship Id="rId42" Type="http://schemas.openxmlformats.org/officeDocument/2006/relationships/image" Target="media/image14.wmf"/><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footer" Target="footer2.xml"/><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3.wmf"/><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image" Target="media/image5.wmf"/><Relationship Id="rId29" Type="http://schemas.openxmlformats.org/officeDocument/2006/relationships/oleObject" Target="embeddings/oleObject11.bin"/><Relationship Id="rId41" Type="http://schemas.openxmlformats.org/officeDocument/2006/relationships/oleObject" Target="embeddings/oleObject19.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24" Type="http://schemas.openxmlformats.org/officeDocument/2006/relationships/image" Target="media/image7.wmf"/><Relationship Id="rId32" Type="http://schemas.openxmlformats.org/officeDocument/2006/relationships/image" Target="media/image11.wmf"/><Relationship Id="rId37" Type="http://schemas.openxmlformats.org/officeDocument/2006/relationships/oleObject" Target="embeddings/oleObject16.bin"/><Relationship Id="rId40" Type="http://schemas.openxmlformats.org/officeDocument/2006/relationships/oleObject" Target="embeddings/oleObject18.bin"/><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oleObject" Target="embeddings/oleObject8.bin"/><Relationship Id="rId28" Type="http://schemas.openxmlformats.org/officeDocument/2006/relationships/image" Target="media/image9.wmf"/><Relationship Id="rId36" Type="http://schemas.openxmlformats.org/officeDocument/2006/relationships/oleObject" Target="embeddings/oleObject15.bin"/><Relationship Id="rId10" Type="http://schemas.openxmlformats.org/officeDocument/2006/relationships/oleObject" Target="embeddings/oleObject1.bin"/><Relationship Id="rId19" Type="http://schemas.openxmlformats.org/officeDocument/2006/relationships/oleObject" Target="embeddings/oleObject6.bin"/><Relationship Id="rId31" Type="http://schemas.openxmlformats.org/officeDocument/2006/relationships/oleObject" Target="embeddings/oleObject12.bin"/><Relationship Id="rId44"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image" Target="media/image6.wmf"/><Relationship Id="rId27" Type="http://schemas.openxmlformats.org/officeDocument/2006/relationships/oleObject" Target="embeddings/oleObject10.bin"/><Relationship Id="rId30" Type="http://schemas.openxmlformats.org/officeDocument/2006/relationships/image" Target="media/image10.wmf"/><Relationship Id="rId35" Type="http://schemas.openxmlformats.org/officeDocument/2006/relationships/oleObject" Target="embeddings/oleObject14.bin"/><Relationship Id="rId43" Type="http://schemas.openxmlformats.org/officeDocument/2006/relationships/oleObject" Target="embeddings/oleObject20.bin"/></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34D35E-7CC9-49DC-B321-4A03B86C45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707</TotalTime>
  <Pages>31</Pages>
  <Words>6633</Words>
  <Characters>37810</Characters>
  <Application>Microsoft Office Word</Application>
  <DocSecurity>0</DocSecurity>
  <Lines>315</Lines>
  <Paragraphs>88</Paragraphs>
  <ScaleCrop>false</ScaleCrop>
  <HeadingPairs>
    <vt:vector size="2" baseType="variant">
      <vt:variant>
        <vt:lpstr>제목</vt:lpstr>
      </vt:variant>
      <vt:variant>
        <vt:i4>1</vt:i4>
      </vt:variant>
    </vt:vector>
  </HeadingPairs>
  <TitlesOfParts>
    <vt:vector size="1" baseType="lpstr">
      <vt:lpstr/>
    </vt:vector>
  </TitlesOfParts>
  <Company>DONGGUK UNIV.</Company>
  <LinksUpToDate>false</LinksUpToDate>
  <CharactersWithSpaces>44355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DONGGUK</dc:creator>
  <cp:keywords/>
  <dc:description/>
  <cp:lastModifiedBy>Administrator</cp:lastModifiedBy>
  <cp:revision>104</cp:revision>
  <dcterms:created xsi:type="dcterms:W3CDTF">2014-04-29T05:58:00Z</dcterms:created>
  <dcterms:modified xsi:type="dcterms:W3CDTF">2014-06-08T15:06:00Z</dcterms:modified>
</cp:coreProperties>
</file>